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107" w:rsidRDefault="000A2184" w:rsidP="00263C7E">
      <w:pPr>
        <w:pStyle w:val="s5"/>
        <w:spacing w:before="0" w:beforeAutospacing="0" w:after="0" w:afterAutospacing="0"/>
        <w:jc w:val="center"/>
        <w:rPr>
          <w:rStyle w:val="s8"/>
          <w:b/>
          <w:bCs/>
          <w:lang w:val="en-US"/>
        </w:rPr>
      </w:pPr>
      <w:r w:rsidRPr="00727D28">
        <w:rPr>
          <w:b/>
          <w:bCs/>
          <w:noProof/>
        </w:rPr>
        <w:drawing>
          <wp:inline distT="0" distB="0" distL="0" distR="0">
            <wp:extent cx="3028950" cy="704850"/>
            <wp:effectExtent l="19050" t="0" r="0" b="0"/>
            <wp:docPr id="4" name="Εικόνα 4" descr="C:\Users\kliok\Desktop\TEL-logo-ese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iok\Desktop\TEL-logo-esee-01 (2).jpg"/>
                    <pic:cNvPicPr>
                      <a:picLocks noChangeAspect="1" noChangeArrowheads="1"/>
                    </pic:cNvPicPr>
                  </pic:nvPicPr>
                  <pic:blipFill>
                    <a:blip r:embed="rId8" cstate="print"/>
                    <a:srcRect/>
                    <a:stretch>
                      <a:fillRect/>
                    </a:stretch>
                  </pic:blipFill>
                  <pic:spPr bwMode="auto">
                    <a:xfrm>
                      <a:off x="0" y="0"/>
                      <a:ext cx="3028950" cy="704850"/>
                    </a:xfrm>
                    <a:prstGeom prst="rect">
                      <a:avLst/>
                    </a:prstGeom>
                    <a:noFill/>
                    <a:ln w="9525">
                      <a:noFill/>
                      <a:miter lim="800000"/>
                      <a:headEnd/>
                      <a:tailEnd/>
                    </a:ln>
                  </pic:spPr>
                </pic:pic>
              </a:graphicData>
            </a:graphic>
          </wp:inline>
        </w:drawing>
      </w:r>
    </w:p>
    <w:p w:rsidR="004B1639" w:rsidRDefault="004B1639" w:rsidP="004B1639">
      <w:pPr>
        <w:pStyle w:val="s4"/>
        <w:spacing w:before="0" w:beforeAutospacing="0" w:after="0" w:afterAutospacing="0"/>
        <w:rPr>
          <w:rStyle w:val="s3"/>
          <w:b/>
          <w:bCs/>
        </w:rPr>
      </w:pPr>
    </w:p>
    <w:p w:rsidR="004B158C" w:rsidRPr="004B158C" w:rsidRDefault="004B158C" w:rsidP="004B158C">
      <w:pPr>
        <w:spacing w:after="0" w:line="360" w:lineRule="auto"/>
        <w:jc w:val="both"/>
        <w:rPr>
          <w:rFonts w:ascii="Times New Roman" w:hAnsi="Times New Roman" w:cs="Times New Roman"/>
          <w:b/>
          <w:sz w:val="24"/>
          <w:szCs w:val="24"/>
        </w:rPr>
      </w:pPr>
    </w:p>
    <w:p w:rsidR="005A7FB4" w:rsidRDefault="005A7FB4" w:rsidP="00A77D53">
      <w:pPr>
        <w:pStyle w:val="ae"/>
        <w:rPr>
          <w:rFonts w:ascii="Times New Roman" w:hAnsi="Times New Roman"/>
          <w:sz w:val="25"/>
          <w:szCs w:val="25"/>
        </w:rPr>
      </w:pPr>
    </w:p>
    <w:p w:rsidR="00E64512" w:rsidRPr="002A7A89" w:rsidRDefault="00E64512" w:rsidP="005A7FB4">
      <w:pPr>
        <w:pStyle w:val="ae"/>
        <w:ind w:left="4320" w:firstLine="720"/>
        <w:jc w:val="center"/>
        <w:rPr>
          <w:rFonts w:ascii="Times New Roman" w:hAnsi="Times New Roman"/>
          <w:sz w:val="25"/>
          <w:szCs w:val="25"/>
        </w:rPr>
      </w:pPr>
      <w:r w:rsidRPr="002A7A89">
        <w:rPr>
          <w:rFonts w:ascii="Times New Roman" w:hAnsi="Times New Roman"/>
          <w:sz w:val="25"/>
          <w:szCs w:val="25"/>
        </w:rPr>
        <w:t xml:space="preserve">Αθήνα, </w:t>
      </w:r>
      <w:r w:rsidR="000E3F01" w:rsidRPr="00EE5DF5">
        <w:rPr>
          <w:rFonts w:ascii="Times New Roman" w:hAnsi="Times New Roman"/>
          <w:sz w:val="25"/>
          <w:szCs w:val="25"/>
        </w:rPr>
        <w:t>30</w:t>
      </w:r>
      <w:r w:rsidRPr="002A7A89">
        <w:rPr>
          <w:rFonts w:ascii="Times New Roman" w:hAnsi="Times New Roman"/>
          <w:sz w:val="25"/>
          <w:szCs w:val="25"/>
        </w:rPr>
        <w:t xml:space="preserve"> </w:t>
      </w:r>
      <w:r w:rsidR="000E3F01">
        <w:rPr>
          <w:rFonts w:ascii="Times New Roman" w:hAnsi="Times New Roman"/>
          <w:sz w:val="25"/>
          <w:szCs w:val="25"/>
        </w:rPr>
        <w:t>Αυγούστου</w:t>
      </w:r>
      <w:r w:rsidRPr="002A7A89">
        <w:rPr>
          <w:rFonts w:ascii="Times New Roman" w:hAnsi="Times New Roman"/>
          <w:sz w:val="25"/>
          <w:szCs w:val="25"/>
        </w:rPr>
        <w:t xml:space="preserve"> </w:t>
      </w:r>
      <w:r w:rsidR="000E3F01">
        <w:rPr>
          <w:rFonts w:ascii="Times New Roman" w:hAnsi="Times New Roman"/>
          <w:sz w:val="25"/>
          <w:szCs w:val="25"/>
        </w:rPr>
        <w:t>2018</w:t>
      </w:r>
    </w:p>
    <w:p w:rsidR="005A7FB4" w:rsidRDefault="005A7FB4" w:rsidP="00A77D53">
      <w:pPr>
        <w:pStyle w:val="ae"/>
        <w:rPr>
          <w:rFonts w:ascii="Times New Roman" w:hAnsi="Times New Roman"/>
          <w:sz w:val="25"/>
          <w:szCs w:val="25"/>
          <w:u w:val="single"/>
        </w:rPr>
      </w:pPr>
    </w:p>
    <w:p w:rsidR="00E64512" w:rsidRPr="00E64512" w:rsidRDefault="00E64512" w:rsidP="00E64512">
      <w:pPr>
        <w:pStyle w:val="ae"/>
        <w:jc w:val="center"/>
        <w:rPr>
          <w:rFonts w:ascii="Times New Roman" w:hAnsi="Times New Roman"/>
          <w:sz w:val="25"/>
          <w:szCs w:val="25"/>
          <w:u w:val="single"/>
        </w:rPr>
      </w:pPr>
      <w:r w:rsidRPr="002A7A89">
        <w:rPr>
          <w:rFonts w:ascii="Times New Roman" w:hAnsi="Times New Roman"/>
          <w:sz w:val="25"/>
          <w:szCs w:val="25"/>
          <w:u w:val="single"/>
        </w:rPr>
        <w:t xml:space="preserve">ΔΕΛΤΙΟ ΤΥΠΟΥ </w:t>
      </w:r>
    </w:p>
    <w:p w:rsidR="007F099E" w:rsidRPr="000E3F01" w:rsidRDefault="007F099E" w:rsidP="005A7FB4">
      <w:pPr>
        <w:spacing w:after="0"/>
        <w:rPr>
          <w:rFonts w:ascii="Times New Roman" w:hAnsi="Times New Roman" w:cs="Times New Roman"/>
          <w:sz w:val="28"/>
          <w:szCs w:val="28"/>
        </w:rPr>
      </w:pPr>
    </w:p>
    <w:p w:rsidR="007F099E" w:rsidRPr="000E3F01" w:rsidRDefault="00DE628D" w:rsidP="000E3F01">
      <w:pPr>
        <w:pStyle w:val="ae"/>
        <w:jc w:val="center"/>
        <w:rPr>
          <w:rFonts w:ascii="Times New Roman" w:hAnsi="Times New Roman"/>
          <w:b/>
          <w:sz w:val="28"/>
          <w:szCs w:val="28"/>
        </w:rPr>
      </w:pPr>
      <w:r w:rsidRPr="00A81AD3">
        <w:rPr>
          <w:rFonts w:ascii="Times New Roman" w:hAnsi="Times New Roman"/>
          <w:b/>
          <w:sz w:val="28"/>
          <w:szCs w:val="28"/>
        </w:rPr>
        <w:t xml:space="preserve">Αποτελέσματα έρευνας θερινών εκπτώσεων </w:t>
      </w:r>
      <w:r w:rsidR="000E3F01">
        <w:rPr>
          <w:rFonts w:ascii="Times New Roman" w:hAnsi="Times New Roman"/>
          <w:b/>
          <w:sz w:val="28"/>
          <w:szCs w:val="28"/>
        </w:rPr>
        <w:t>2018</w:t>
      </w:r>
      <w:r w:rsidRPr="00A81AD3">
        <w:rPr>
          <w:rFonts w:ascii="Times New Roman" w:hAnsi="Times New Roman"/>
          <w:b/>
          <w:sz w:val="28"/>
          <w:szCs w:val="28"/>
        </w:rPr>
        <w:t>:</w:t>
      </w:r>
      <w:r w:rsidR="000E3F01">
        <w:rPr>
          <w:rFonts w:ascii="Times New Roman" w:hAnsi="Times New Roman"/>
          <w:b/>
          <w:sz w:val="28"/>
          <w:szCs w:val="28"/>
        </w:rPr>
        <w:t xml:space="preserve"> </w:t>
      </w:r>
      <w:r w:rsidR="00EE5DF5">
        <w:rPr>
          <w:rFonts w:ascii="Times New Roman" w:hAnsi="Times New Roman"/>
          <w:b/>
          <w:sz w:val="28"/>
          <w:szCs w:val="28"/>
        </w:rPr>
        <w:t xml:space="preserve">Το εμπόριο σε κατάσταση </w:t>
      </w:r>
      <w:r w:rsidR="00E56F64">
        <w:rPr>
          <w:rFonts w:ascii="Times New Roman" w:hAnsi="Times New Roman"/>
          <w:b/>
          <w:sz w:val="28"/>
          <w:szCs w:val="28"/>
        </w:rPr>
        <w:t>«</w:t>
      </w:r>
      <w:r w:rsidR="00EE5DF5">
        <w:rPr>
          <w:rFonts w:ascii="Times New Roman" w:hAnsi="Times New Roman"/>
          <w:b/>
          <w:sz w:val="28"/>
          <w:szCs w:val="28"/>
        </w:rPr>
        <w:t>θερινής ραστώνης</w:t>
      </w:r>
      <w:r w:rsidR="00E56F64">
        <w:rPr>
          <w:rFonts w:ascii="Times New Roman" w:hAnsi="Times New Roman"/>
          <w:b/>
          <w:sz w:val="28"/>
          <w:szCs w:val="28"/>
        </w:rPr>
        <w:t>»</w:t>
      </w:r>
    </w:p>
    <w:p w:rsidR="005A7FB4" w:rsidRDefault="005A7FB4" w:rsidP="005E767F">
      <w:pPr>
        <w:pStyle w:val="ae"/>
        <w:spacing w:line="276" w:lineRule="auto"/>
        <w:jc w:val="both"/>
        <w:rPr>
          <w:rFonts w:ascii="Times New Roman" w:hAnsi="Times New Roman"/>
          <w:sz w:val="24"/>
          <w:szCs w:val="24"/>
        </w:rPr>
      </w:pPr>
    </w:p>
    <w:p w:rsidR="00391F0B" w:rsidRDefault="007F099E" w:rsidP="000E3F01">
      <w:pPr>
        <w:pStyle w:val="ae"/>
        <w:spacing w:line="276" w:lineRule="auto"/>
        <w:jc w:val="both"/>
        <w:rPr>
          <w:rFonts w:ascii="Times New Roman" w:hAnsi="Times New Roman"/>
          <w:sz w:val="24"/>
          <w:szCs w:val="24"/>
        </w:rPr>
      </w:pPr>
      <w:r w:rsidRPr="00FD66C7">
        <w:rPr>
          <w:rFonts w:ascii="Times New Roman" w:hAnsi="Times New Roman"/>
          <w:sz w:val="24"/>
          <w:szCs w:val="24"/>
        </w:rPr>
        <w:t xml:space="preserve">Το ΙΝΕΜΥ-ΕΣΕΕ πραγματοποίησε την </w:t>
      </w:r>
      <w:r w:rsidR="00A24371" w:rsidRPr="00FD66C7">
        <w:rPr>
          <w:rFonts w:ascii="Times New Roman" w:hAnsi="Times New Roman"/>
          <w:sz w:val="24"/>
          <w:szCs w:val="24"/>
        </w:rPr>
        <w:t xml:space="preserve">καθιερωμένη </w:t>
      </w:r>
      <w:r w:rsidRPr="00FD66C7">
        <w:rPr>
          <w:rFonts w:ascii="Times New Roman" w:hAnsi="Times New Roman"/>
          <w:sz w:val="24"/>
          <w:szCs w:val="24"/>
        </w:rPr>
        <w:t xml:space="preserve">περιοδική έρευνα για τις </w:t>
      </w:r>
      <w:r w:rsidR="00A24371" w:rsidRPr="00FD66C7">
        <w:rPr>
          <w:rFonts w:ascii="Times New Roman" w:hAnsi="Times New Roman"/>
          <w:sz w:val="24"/>
          <w:szCs w:val="24"/>
        </w:rPr>
        <w:t>θερινές</w:t>
      </w:r>
      <w:r w:rsidR="004A75ED" w:rsidRPr="00FD66C7">
        <w:rPr>
          <w:rFonts w:ascii="Times New Roman" w:hAnsi="Times New Roman"/>
          <w:sz w:val="24"/>
          <w:szCs w:val="24"/>
        </w:rPr>
        <w:t xml:space="preserve"> εκπτώσεις</w:t>
      </w:r>
      <w:r w:rsidR="00340379">
        <w:rPr>
          <w:rFonts w:ascii="Times New Roman" w:hAnsi="Times New Roman"/>
          <w:sz w:val="24"/>
          <w:szCs w:val="24"/>
        </w:rPr>
        <w:t xml:space="preserve"> του</w:t>
      </w:r>
      <w:r w:rsidR="007F2CB1">
        <w:rPr>
          <w:rFonts w:ascii="Times New Roman" w:hAnsi="Times New Roman"/>
          <w:sz w:val="24"/>
          <w:szCs w:val="24"/>
        </w:rPr>
        <w:t xml:space="preserve"> </w:t>
      </w:r>
      <w:r w:rsidR="002F7FFD" w:rsidRPr="002F7FFD">
        <w:rPr>
          <w:rFonts w:ascii="Times New Roman" w:hAnsi="Times New Roman"/>
          <w:sz w:val="24"/>
          <w:szCs w:val="24"/>
        </w:rPr>
        <w:t xml:space="preserve"> </w:t>
      </w:r>
      <w:r w:rsidR="000E3F01">
        <w:rPr>
          <w:rFonts w:ascii="Times New Roman" w:hAnsi="Times New Roman"/>
          <w:sz w:val="24"/>
          <w:szCs w:val="24"/>
        </w:rPr>
        <w:t xml:space="preserve">2018.  </w:t>
      </w:r>
      <w:r w:rsidR="00DE628D">
        <w:rPr>
          <w:rFonts w:ascii="Times New Roman" w:hAnsi="Times New Roman"/>
          <w:sz w:val="24"/>
          <w:szCs w:val="24"/>
        </w:rPr>
        <w:t xml:space="preserve">Όπως προκύπτει από τα αποτελέσματα της έρευνας ο κύκλος εργασιών κατά τη διάρκεια των θερινών εκπτώσεων </w:t>
      </w:r>
      <w:r w:rsidR="00391F0B">
        <w:rPr>
          <w:rFonts w:ascii="Times New Roman" w:hAnsi="Times New Roman"/>
          <w:sz w:val="24"/>
          <w:szCs w:val="24"/>
        </w:rPr>
        <w:t xml:space="preserve">δεν ικανοποίησε τις επιχειρήσεις. </w:t>
      </w:r>
      <w:r w:rsidR="00DE628D">
        <w:rPr>
          <w:rFonts w:ascii="Times New Roman" w:hAnsi="Times New Roman"/>
          <w:sz w:val="24"/>
          <w:szCs w:val="24"/>
        </w:rPr>
        <w:t xml:space="preserve"> </w:t>
      </w:r>
    </w:p>
    <w:p w:rsidR="00391F0B" w:rsidRDefault="00391F0B" w:rsidP="000E3F01">
      <w:pPr>
        <w:pStyle w:val="ae"/>
        <w:spacing w:line="276" w:lineRule="auto"/>
        <w:jc w:val="both"/>
        <w:rPr>
          <w:rFonts w:ascii="Times New Roman" w:hAnsi="Times New Roman"/>
          <w:sz w:val="24"/>
          <w:szCs w:val="24"/>
        </w:rPr>
      </w:pPr>
    </w:p>
    <w:p w:rsidR="00A459C6" w:rsidRPr="00391F0B" w:rsidRDefault="00A459C6" w:rsidP="00391F0B">
      <w:pPr>
        <w:pStyle w:val="ae"/>
        <w:spacing w:line="276" w:lineRule="auto"/>
        <w:jc w:val="both"/>
        <w:rPr>
          <w:rFonts w:ascii="Times New Roman" w:hAnsi="Times New Roman"/>
          <w:sz w:val="24"/>
          <w:szCs w:val="24"/>
        </w:rPr>
      </w:pPr>
    </w:p>
    <w:p w:rsidR="00DE628D" w:rsidRPr="00884B70" w:rsidRDefault="00DE628D" w:rsidP="00DE628D">
      <w:pPr>
        <w:pStyle w:val="ae"/>
        <w:jc w:val="center"/>
        <w:rPr>
          <w:rFonts w:ascii="Times New Roman" w:hAnsi="Times New Roman"/>
          <w:b/>
          <w:i/>
          <w:sz w:val="26"/>
          <w:szCs w:val="26"/>
          <w:u w:val="single"/>
        </w:rPr>
      </w:pPr>
      <w:r w:rsidRPr="00884B70">
        <w:rPr>
          <w:rFonts w:ascii="Times New Roman" w:hAnsi="Times New Roman"/>
          <w:b/>
          <w:i/>
          <w:sz w:val="26"/>
          <w:szCs w:val="26"/>
          <w:u w:val="single"/>
        </w:rPr>
        <w:t>Σύνοψη αποτελεσμάτων</w:t>
      </w:r>
    </w:p>
    <w:p w:rsidR="00A459C6" w:rsidRDefault="00A459C6" w:rsidP="00A459C6">
      <w:pPr>
        <w:pStyle w:val="ae"/>
        <w:rPr>
          <w:rFonts w:ascii="Times New Roman" w:hAnsi="Times New Roman"/>
          <w:b/>
          <w:sz w:val="24"/>
          <w:szCs w:val="24"/>
          <w:u w:val="single"/>
        </w:rPr>
      </w:pPr>
    </w:p>
    <w:p w:rsidR="00F705CC" w:rsidRPr="00E04C4B" w:rsidRDefault="00A459C6" w:rsidP="00E04C4B">
      <w:pPr>
        <w:pStyle w:val="ae"/>
        <w:numPr>
          <w:ilvl w:val="0"/>
          <w:numId w:val="25"/>
        </w:numPr>
        <w:spacing w:line="276" w:lineRule="auto"/>
        <w:jc w:val="both"/>
        <w:rPr>
          <w:rFonts w:ascii="Times New Roman" w:hAnsi="Times New Roman"/>
          <w:sz w:val="24"/>
          <w:szCs w:val="24"/>
        </w:rPr>
      </w:pPr>
      <w:r w:rsidRPr="007C4C09">
        <w:rPr>
          <w:rFonts w:ascii="Times New Roman" w:hAnsi="Times New Roman"/>
          <w:b/>
          <w:sz w:val="24"/>
          <w:szCs w:val="24"/>
        </w:rPr>
        <w:t xml:space="preserve">Οι επιδόσεις </w:t>
      </w:r>
      <w:r w:rsidRPr="006C556E">
        <w:rPr>
          <w:rFonts w:ascii="Times New Roman" w:hAnsi="Times New Roman"/>
          <w:sz w:val="24"/>
          <w:szCs w:val="24"/>
        </w:rPr>
        <w:t>των εμπορικών επιχειρήσεων</w:t>
      </w:r>
      <w:r>
        <w:rPr>
          <w:rFonts w:ascii="Times New Roman" w:hAnsi="Times New Roman"/>
          <w:sz w:val="24"/>
          <w:szCs w:val="24"/>
        </w:rPr>
        <w:t xml:space="preserve"> φαίνεται να </w:t>
      </w:r>
      <w:r w:rsidRPr="007C4C09">
        <w:rPr>
          <w:rFonts w:ascii="Times New Roman" w:hAnsi="Times New Roman"/>
          <w:b/>
          <w:sz w:val="24"/>
          <w:szCs w:val="24"/>
        </w:rPr>
        <w:t>διαφοροποιούνται ανάλογα τον τόπο εγκατάστασης και το μέγεθος της επιχείρησης.</w:t>
      </w:r>
      <w:r>
        <w:rPr>
          <w:rFonts w:ascii="Times New Roman" w:hAnsi="Times New Roman"/>
          <w:sz w:val="24"/>
          <w:szCs w:val="24"/>
        </w:rPr>
        <w:t xml:space="preserve"> </w:t>
      </w:r>
      <w:r w:rsidR="009367AD" w:rsidRPr="00971D69">
        <w:rPr>
          <w:rFonts w:ascii="Times New Roman" w:hAnsi="Times New Roman"/>
          <w:sz w:val="24"/>
          <w:szCs w:val="24"/>
        </w:rPr>
        <w:t>Πιο συγκεκριμένα</w:t>
      </w:r>
      <w:r w:rsidR="006C556E" w:rsidRPr="00971D69">
        <w:rPr>
          <w:rFonts w:ascii="Times New Roman" w:hAnsi="Times New Roman"/>
          <w:sz w:val="24"/>
          <w:szCs w:val="24"/>
        </w:rPr>
        <w:t>,</w:t>
      </w:r>
      <w:r w:rsidR="009C21FB" w:rsidRPr="00FF134A">
        <w:rPr>
          <w:rFonts w:ascii="Times New Roman" w:hAnsi="Times New Roman"/>
          <w:b/>
          <w:sz w:val="24"/>
          <w:szCs w:val="24"/>
        </w:rPr>
        <w:t xml:space="preserve"> </w:t>
      </w:r>
      <w:r w:rsidR="00E56F64">
        <w:rPr>
          <w:rFonts w:ascii="Times New Roman" w:hAnsi="Times New Roman"/>
          <w:b/>
          <w:sz w:val="24"/>
          <w:szCs w:val="24"/>
        </w:rPr>
        <w:t xml:space="preserve">οι μικρές </w:t>
      </w:r>
      <w:r w:rsidR="009367AD" w:rsidRPr="00FF134A">
        <w:rPr>
          <w:rFonts w:ascii="Times New Roman" w:hAnsi="Times New Roman"/>
          <w:b/>
          <w:sz w:val="24"/>
          <w:szCs w:val="24"/>
        </w:rPr>
        <w:t>ε</w:t>
      </w:r>
      <w:r w:rsidR="00971D69">
        <w:rPr>
          <w:rFonts w:ascii="Times New Roman" w:hAnsi="Times New Roman"/>
          <w:b/>
          <w:sz w:val="24"/>
          <w:szCs w:val="24"/>
        </w:rPr>
        <w:t xml:space="preserve">πιχειρήσεις με </w:t>
      </w:r>
      <w:r w:rsidR="00E56F64">
        <w:rPr>
          <w:rFonts w:ascii="Times New Roman" w:hAnsi="Times New Roman"/>
          <w:b/>
          <w:sz w:val="24"/>
          <w:szCs w:val="24"/>
        </w:rPr>
        <w:t xml:space="preserve">χαμηλό τζίρο </w:t>
      </w:r>
      <w:r w:rsidR="00971D69">
        <w:rPr>
          <w:rFonts w:ascii="Times New Roman" w:hAnsi="Times New Roman"/>
          <w:b/>
          <w:sz w:val="24"/>
          <w:szCs w:val="24"/>
        </w:rPr>
        <w:t xml:space="preserve">καθώς και οι </w:t>
      </w:r>
      <w:proofErr w:type="spellStart"/>
      <w:r w:rsidR="00971D69">
        <w:rPr>
          <w:rFonts w:ascii="Times New Roman" w:hAnsi="Times New Roman"/>
          <w:b/>
          <w:sz w:val="24"/>
          <w:szCs w:val="24"/>
        </w:rPr>
        <w:t>αυτ</w:t>
      </w:r>
      <w:proofErr w:type="spellEnd"/>
      <w:r w:rsidR="00971D69">
        <w:rPr>
          <w:rFonts w:ascii="Times New Roman" w:hAnsi="Times New Roman"/>
          <w:b/>
          <w:sz w:val="24"/>
          <w:szCs w:val="24"/>
          <w:lang w:val="en-US"/>
        </w:rPr>
        <w:t>o</w:t>
      </w:r>
      <w:r w:rsidR="006C556E" w:rsidRPr="00FF134A">
        <w:rPr>
          <w:rFonts w:ascii="Times New Roman" w:hAnsi="Times New Roman"/>
          <w:b/>
          <w:sz w:val="24"/>
          <w:szCs w:val="24"/>
        </w:rPr>
        <w:t>α</w:t>
      </w:r>
      <w:r w:rsidR="00971D69">
        <w:rPr>
          <w:rFonts w:ascii="Times New Roman" w:hAnsi="Times New Roman"/>
          <w:b/>
          <w:sz w:val="24"/>
          <w:szCs w:val="24"/>
        </w:rPr>
        <w:t xml:space="preserve">πασχολούμενοι </w:t>
      </w:r>
      <w:r w:rsidR="009C21FB" w:rsidRPr="00FF134A">
        <w:rPr>
          <w:rFonts w:ascii="Times New Roman" w:hAnsi="Times New Roman"/>
          <w:b/>
          <w:sz w:val="24"/>
          <w:szCs w:val="24"/>
        </w:rPr>
        <w:t xml:space="preserve">παρουσίασαν μείωση πωλήσεων σε </w:t>
      </w:r>
      <w:r w:rsidR="009C21FB" w:rsidRPr="00971D69">
        <w:rPr>
          <w:rFonts w:ascii="Times New Roman" w:hAnsi="Times New Roman"/>
          <w:sz w:val="24"/>
          <w:szCs w:val="24"/>
        </w:rPr>
        <w:t>σύγκριση με τον προηγούμενο έτος</w:t>
      </w:r>
      <w:r w:rsidR="009C21FB">
        <w:rPr>
          <w:rFonts w:ascii="Times New Roman" w:hAnsi="Times New Roman"/>
          <w:sz w:val="24"/>
          <w:szCs w:val="24"/>
        </w:rPr>
        <w:t xml:space="preserve">. </w:t>
      </w:r>
      <w:r w:rsidR="00971D69">
        <w:rPr>
          <w:rFonts w:ascii="Times New Roman" w:hAnsi="Times New Roman"/>
          <w:sz w:val="24"/>
          <w:szCs w:val="24"/>
        </w:rPr>
        <w:t>Αντίθετα</w:t>
      </w:r>
      <w:r w:rsidR="00E56F64">
        <w:rPr>
          <w:rFonts w:ascii="Times New Roman" w:hAnsi="Times New Roman"/>
          <w:sz w:val="24"/>
          <w:szCs w:val="24"/>
        </w:rPr>
        <w:t>,</w:t>
      </w:r>
      <w:r w:rsidR="00971D69">
        <w:rPr>
          <w:rFonts w:ascii="Times New Roman" w:hAnsi="Times New Roman"/>
          <w:sz w:val="24"/>
          <w:szCs w:val="24"/>
        </w:rPr>
        <w:t xml:space="preserve"> οι μεγαλύτερες επιχειρήσεις εμφάνισαν </w:t>
      </w:r>
      <w:r w:rsidR="00971D69" w:rsidRPr="00EF4E21">
        <w:rPr>
          <w:rFonts w:ascii="Times New Roman" w:hAnsi="Times New Roman"/>
          <w:b/>
          <w:sz w:val="24"/>
          <w:szCs w:val="24"/>
        </w:rPr>
        <w:t>είτε σταθερότητα είτε αύξηση</w:t>
      </w:r>
      <w:r w:rsidR="00971D69">
        <w:rPr>
          <w:rFonts w:ascii="Times New Roman" w:hAnsi="Times New Roman"/>
          <w:b/>
          <w:sz w:val="24"/>
          <w:szCs w:val="24"/>
        </w:rPr>
        <w:t xml:space="preserve"> στις πωλήσεις τους. </w:t>
      </w:r>
      <w:r w:rsidR="00E16CF8">
        <w:rPr>
          <w:rFonts w:ascii="Times New Roman" w:hAnsi="Times New Roman"/>
          <w:b/>
          <w:sz w:val="24"/>
          <w:szCs w:val="24"/>
        </w:rPr>
        <w:t xml:space="preserve">Επομένως, και με δεδομένο ότι οι πολύ μεγάλες επιχειρήσεις α) είναι πιο ελκυστικές κατά τη διάρκεια των εκπτώσεων, και β) εκπροσωπούν μεγάλο μερίδιο του λιανικού εμπορίου καθίσταται σαφές ότι το εμπόριο </w:t>
      </w:r>
      <w:r w:rsidR="00EE5DF5">
        <w:rPr>
          <w:rFonts w:ascii="Times New Roman" w:hAnsi="Times New Roman"/>
          <w:b/>
          <w:sz w:val="24"/>
          <w:szCs w:val="24"/>
        </w:rPr>
        <w:t>κινείται σε δύο ταχύτητες.</w:t>
      </w:r>
      <w:r w:rsidR="00EE5DF5">
        <w:rPr>
          <w:rFonts w:ascii="Times New Roman" w:hAnsi="Times New Roman"/>
          <w:sz w:val="24"/>
          <w:szCs w:val="24"/>
        </w:rPr>
        <w:t xml:space="preserve"> Ενδεικτικό αυτής της εξέλιξης αποτελεί και η πορεία του ΔΚΕ όπως δημοσιεύεται από την ΕΛΣΤΑΤ, η οποία σε όλες τις περιόδους του διμήνου παραμένει θετική. (</w:t>
      </w:r>
      <w:r w:rsidR="00EE5DF5" w:rsidRPr="00F705CC">
        <w:rPr>
          <w:rFonts w:ascii="Times New Roman" w:hAnsi="Times New Roman"/>
          <w:i/>
          <w:sz w:val="24"/>
          <w:szCs w:val="24"/>
        </w:rPr>
        <w:t>Η ΕΛΣΤΑΤ συγκεντρώνει τον κύκλο εργασιών επιχειρήσεων άνω των 200.000 ευρώ τζίρου</w:t>
      </w:r>
      <w:r w:rsidR="00EE5DF5">
        <w:rPr>
          <w:rFonts w:ascii="Times New Roman" w:hAnsi="Times New Roman"/>
          <w:sz w:val="24"/>
          <w:szCs w:val="24"/>
        </w:rPr>
        <w:t>)</w:t>
      </w:r>
    </w:p>
    <w:p w:rsidR="00F705CC" w:rsidRDefault="00E04C4B" w:rsidP="00E04C4B">
      <w:pPr>
        <w:pStyle w:val="ae"/>
        <w:spacing w:line="276" w:lineRule="auto"/>
        <w:ind w:left="360"/>
        <w:jc w:val="center"/>
        <w:rPr>
          <w:rFonts w:ascii="Times New Roman" w:hAnsi="Times New Roman"/>
          <w:b/>
          <w:sz w:val="24"/>
          <w:szCs w:val="24"/>
        </w:rPr>
      </w:pPr>
      <w:r w:rsidRPr="00E04C4B">
        <w:rPr>
          <w:rFonts w:ascii="Times New Roman" w:hAnsi="Times New Roman"/>
          <w:b/>
          <w:noProof/>
          <w:sz w:val="24"/>
          <w:szCs w:val="24"/>
          <w:lang w:eastAsia="el-GR"/>
        </w:rPr>
        <w:drawing>
          <wp:inline distT="0" distB="0" distL="0" distR="0">
            <wp:extent cx="4675780" cy="2688609"/>
            <wp:effectExtent l="19050" t="0" r="10520" b="0"/>
            <wp:docPr id="19"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5CC" w:rsidRDefault="00F705CC" w:rsidP="00F705CC">
      <w:pPr>
        <w:pStyle w:val="ae"/>
        <w:spacing w:line="276" w:lineRule="auto"/>
        <w:ind w:left="360"/>
        <w:jc w:val="both"/>
        <w:rPr>
          <w:rFonts w:ascii="Times New Roman" w:hAnsi="Times New Roman"/>
          <w:b/>
          <w:sz w:val="24"/>
          <w:szCs w:val="24"/>
        </w:rPr>
      </w:pPr>
    </w:p>
    <w:p w:rsidR="00F705CC" w:rsidRDefault="00F705CC" w:rsidP="00F705CC">
      <w:pPr>
        <w:pStyle w:val="ae"/>
        <w:spacing w:line="276" w:lineRule="auto"/>
        <w:ind w:left="360"/>
        <w:jc w:val="both"/>
        <w:rPr>
          <w:rFonts w:ascii="Times New Roman" w:hAnsi="Times New Roman"/>
          <w:b/>
          <w:sz w:val="24"/>
          <w:szCs w:val="24"/>
        </w:rPr>
      </w:pPr>
    </w:p>
    <w:p w:rsidR="00F705CC" w:rsidRPr="00EE5DF5" w:rsidRDefault="00F705CC" w:rsidP="002069A1">
      <w:pPr>
        <w:pStyle w:val="ae"/>
        <w:spacing w:line="276" w:lineRule="auto"/>
        <w:jc w:val="both"/>
        <w:rPr>
          <w:rFonts w:ascii="Times New Roman" w:hAnsi="Times New Roman"/>
          <w:sz w:val="24"/>
          <w:szCs w:val="24"/>
        </w:rPr>
      </w:pPr>
    </w:p>
    <w:p w:rsidR="009C21FB" w:rsidRPr="009C21FB" w:rsidRDefault="00FF134A" w:rsidP="009C21FB">
      <w:pPr>
        <w:pStyle w:val="ae"/>
        <w:numPr>
          <w:ilvl w:val="0"/>
          <w:numId w:val="25"/>
        </w:numPr>
        <w:spacing w:line="276" w:lineRule="auto"/>
        <w:jc w:val="both"/>
        <w:rPr>
          <w:rFonts w:ascii="Times New Roman" w:hAnsi="Times New Roman"/>
          <w:sz w:val="24"/>
          <w:szCs w:val="24"/>
        </w:rPr>
      </w:pPr>
      <w:r>
        <w:rPr>
          <w:rFonts w:ascii="Times New Roman" w:hAnsi="Times New Roman"/>
          <w:sz w:val="24"/>
          <w:szCs w:val="24"/>
        </w:rPr>
        <w:t>Σημαντικός παράγοντας στην εξέλιξη των πωλήσ</w:t>
      </w:r>
      <w:r w:rsidR="00971D69">
        <w:rPr>
          <w:rFonts w:ascii="Times New Roman" w:hAnsi="Times New Roman"/>
          <w:sz w:val="24"/>
          <w:szCs w:val="24"/>
        </w:rPr>
        <w:t xml:space="preserve">εων είναι η περιοχή </w:t>
      </w:r>
      <w:r>
        <w:rPr>
          <w:rFonts w:ascii="Times New Roman" w:hAnsi="Times New Roman"/>
          <w:sz w:val="24"/>
          <w:szCs w:val="24"/>
        </w:rPr>
        <w:t>εγκατάστασης όταν</w:t>
      </w:r>
      <w:r w:rsidR="00971D69">
        <w:rPr>
          <w:rFonts w:ascii="Times New Roman" w:hAnsi="Times New Roman"/>
          <w:sz w:val="24"/>
          <w:szCs w:val="24"/>
        </w:rPr>
        <w:t xml:space="preserve"> αυτή είναι τουριστική</w:t>
      </w:r>
      <w:r w:rsidR="00A9620F">
        <w:rPr>
          <w:rFonts w:ascii="Times New Roman" w:hAnsi="Times New Roman"/>
          <w:sz w:val="24"/>
          <w:szCs w:val="24"/>
        </w:rPr>
        <w:t>. Παρ</w:t>
      </w:r>
      <w:r w:rsidR="00E56F64">
        <w:rPr>
          <w:rFonts w:ascii="Times New Roman" w:hAnsi="Times New Roman"/>
          <w:sz w:val="24"/>
          <w:szCs w:val="24"/>
        </w:rPr>
        <w:t>’</w:t>
      </w:r>
      <w:r w:rsidR="00A9620F">
        <w:rPr>
          <w:rFonts w:ascii="Times New Roman" w:hAnsi="Times New Roman"/>
          <w:sz w:val="24"/>
          <w:szCs w:val="24"/>
        </w:rPr>
        <w:t xml:space="preserve"> ό</w:t>
      </w:r>
      <w:r>
        <w:rPr>
          <w:rFonts w:ascii="Times New Roman" w:hAnsi="Times New Roman"/>
          <w:sz w:val="24"/>
          <w:szCs w:val="24"/>
        </w:rPr>
        <w:t xml:space="preserve">λα αυτά, φέτος </w:t>
      </w:r>
      <w:r w:rsidR="00E56F64">
        <w:rPr>
          <w:rFonts w:ascii="Times New Roman" w:hAnsi="Times New Roman"/>
          <w:sz w:val="24"/>
          <w:szCs w:val="24"/>
        </w:rPr>
        <w:t>η</w:t>
      </w:r>
      <w:r>
        <w:rPr>
          <w:rFonts w:ascii="Times New Roman" w:hAnsi="Times New Roman"/>
          <w:sz w:val="24"/>
          <w:szCs w:val="24"/>
        </w:rPr>
        <w:t xml:space="preserve"> ένταση αυτής της διαφοροποίησης μειώθηκε αισθητά. </w:t>
      </w:r>
    </w:p>
    <w:p w:rsidR="00391F0B" w:rsidRDefault="00391F0B" w:rsidP="009C21FB">
      <w:pPr>
        <w:pStyle w:val="ae"/>
        <w:numPr>
          <w:ilvl w:val="0"/>
          <w:numId w:val="25"/>
        </w:numPr>
        <w:spacing w:line="276" w:lineRule="auto"/>
        <w:jc w:val="both"/>
        <w:rPr>
          <w:rFonts w:ascii="Times New Roman" w:hAnsi="Times New Roman"/>
          <w:sz w:val="24"/>
          <w:szCs w:val="24"/>
        </w:rPr>
      </w:pPr>
      <w:r w:rsidRPr="00AB45DF">
        <w:rPr>
          <w:rFonts w:ascii="Times New Roman" w:hAnsi="Times New Roman"/>
          <w:sz w:val="24"/>
          <w:szCs w:val="24"/>
        </w:rPr>
        <w:t>Έτσι</w:t>
      </w:r>
      <w:r w:rsidR="00E56F64">
        <w:rPr>
          <w:rFonts w:ascii="Times New Roman" w:hAnsi="Times New Roman"/>
          <w:sz w:val="24"/>
          <w:szCs w:val="24"/>
        </w:rPr>
        <w:t>,</w:t>
      </w:r>
      <w:r w:rsidRPr="00AB45DF">
        <w:rPr>
          <w:rFonts w:ascii="Times New Roman" w:hAnsi="Times New Roman"/>
          <w:sz w:val="24"/>
          <w:szCs w:val="24"/>
        </w:rPr>
        <w:t xml:space="preserve"> θα λέγαμε ότι τα όρια που κινήθηκε </w:t>
      </w:r>
      <w:r w:rsidR="00971D69">
        <w:rPr>
          <w:rFonts w:ascii="Times New Roman" w:hAnsi="Times New Roman"/>
          <w:sz w:val="24"/>
          <w:szCs w:val="24"/>
        </w:rPr>
        <w:t>η μεταβολή τ</w:t>
      </w:r>
      <w:r w:rsidRPr="00AB45DF">
        <w:rPr>
          <w:rFonts w:ascii="Times New Roman" w:hAnsi="Times New Roman"/>
          <w:sz w:val="24"/>
          <w:szCs w:val="24"/>
        </w:rPr>
        <w:t>ο</w:t>
      </w:r>
      <w:r w:rsidR="00971D69">
        <w:rPr>
          <w:rFonts w:ascii="Times New Roman" w:hAnsi="Times New Roman"/>
          <w:sz w:val="24"/>
          <w:szCs w:val="24"/>
        </w:rPr>
        <w:t>υ τζίρου</w:t>
      </w:r>
      <w:r w:rsidRPr="00AB45DF">
        <w:rPr>
          <w:rFonts w:ascii="Times New Roman" w:hAnsi="Times New Roman"/>
          <w:sz w:val="24"/>
          <w:szCs w:val="24"/>
        </w:rPr>
        <w:t xml:space="preserve"> ήταν από </w:t>
      </w:r>
      <w:r w:rsidRPr="00AB45DF">
        <w:rPr>
          <w:rFonts w:ascii="Times New Roman" w:hAnsi="Times New Roman"/>
          <w:b/>
          <w:sz w:val="24"/>
          <w:szCs w:val="24"/>
        </w:rPr>
        <w:t>+</w:t>
      </w:r>
      <w:r w:rsidR="00D506C5">
        <w:rPr>
          <w:rFonts w:ascii="Times New Roman" w:hAnsi="Times New Roman"/>
          <w:b/>
          <w:sz w:val="24"/>
          <w:szCs w:val="24"/>
        </w:rPr>
        <w:t>7</w:t>
      </w:r>
      <w:r w:rsidRPr="00AB45DF">
        <w:rPr>
          <w:rFonts w:ascii="Times New Roman" w:hAnsi="Times New Roman"/>
          <w:b/>
          <w:sz w:val="24"/>
          <w:szCs w:val="24"/>
        </w:rPr>
        <w:t>% για όσες επιχειρήσεις είχαν αύξηση και κατά μέσο όρο -</w:t>
      </w:r>
      <w:r w:rsidR="00D506C5">
        <w:rPr>
          <w:rFonts w:ascii="Times New Roman" w:hAnsi="Times New Roman"/>
          <w:b/>
          <w:sz w:val="24"/>
          <w:szCs w:val="24"/>
        </w:rPr>
        <w:t>15</w:t>
      </w:r>
      <w:r w:rsidRPr="00AB45DF">
        <w:rPr>
          <w:rFonts w:ascii="Times New Roman" w:hAnsi="Times New Roman"/>
          <w:b/>
          <w:sz w:val="24"/>
          <w:szCs w:val="24"/>
        </w:rPr>
        <w:t>% για όσες είχαν μείωση.</w:t>
      </w:r>
      <w:r w:rsidRPr="00AB45DF">
        <w:rPr>
          <w:rFonts w:ascii="Times New Roman" w:hAnsi="Times New Roman"/>
          <w:sz w:val="24"/>
          <w:szCs w:val="24"/>
        </w:rPr>
        <w:t xml:space="preserve">  Θα λέγαμε</w:t>
      </w:r>
      <w:r w:rsidR="00E56F64">
        <w:rPr>
          <w:rFonts w:ascii="Times New Roman" w:hAnsi="Times New Roman"/>
          <w:sz w:val="24"/>
          <w:szCs w:val="24"/>
        </w:rPr>
        <w:t>,</w:t>
      </w:r>
      <w:r w:rsidRPr="00AB45DF">
        <w:rPr>
          <w:rFonts w:ascii="Times New Roman" w:hAnsi="Times New Roman"/>
          <w:sz w:val="24"/>
          <w:szCs w:val="24"/>
        </w:rPr>
        <w:t xml:space="preserve"> επομένως</w:t>
      </w:r>
      <w:r w:rsidR="00E56F64">
        <w:rPr>
          <w:rFonts w:ascii="Times New Roman" w:hAnsi="Times New Roman"/>
          <w:sz w:val="24"/>
          <w:szCs w:val="24"/>
        </w:rPr>
        <w:t>,</w:t>
      </w:r>
      <w:r w:rsidRPr="00AB45DF">
        <w:rPr>
          <w:rFonts w:ascii="Times New Roman" w:hAnsi="Times New Roman"/>
          <w:sz w:val="24"/>
          <w:szCs w:val="24"/>
        </w:rPr>
        <w:t xml:space="preserve"> ότι </w:t>
      </w:r>
      <w:proofErr w:type="spellStart"/>
      <w:r w:rsidRPr="00AB45DF">
        <w:rPr>
          <w:rFonts w:ascii="Times New Roman" w:hAnsi="Times New Roman"/>
          <w:sz w:val="24"/>
          <w:szCs w:val="24"/>
        </w:rPr>
        <w:t>μεσοσταθμικά</w:t>
      </w:r>
      <w:proofErr w:type="spellEnd"/>
      <w:r w:rsidRPr="00AB45DF">
        <w:rPr>
          <w:rFonts w:ascii="Times New Roman" w:hAnsi="Times New Roman"/>
          <w:sz w:val="24"/>
          <w:szCs w:val="24"/>
        </w:rPr>
        <w:t xml:space="preserve"> η </w:t>
      </w:r>
      <w:r w:rsidRPr="00AB45DF">
        <w:rPr>
          <w:rFonts w:ascii="Times New Roman" w:hAnsi="Times New Roman"/>
          <w:b/>
          <w:sz w:val="24"/>
          <w:szCs w:val="24"/>
        </w:rPr>
        <w:t xml:space="preserve">μείωση των πωλήσεων περιορίστηκε </w:t>
      </w:r>
      <w:r w:rsidRPr="00AB45DF">
        <w:rPr>
          <w:rFonts w:ascii="Times New Roman" w:hAnsi="Times New Roman"/>
          <w:sz w:val="24"/>
          <w:szCs w:val="24"/>
        </w:rPr>
        <w:t>λαμβάνοντας υπόψη και τις προαναφερθείσες σημαντικές διαφοροποιήσεις.</w:t>
      </w:r>
    </w:p>
    <w:p w:rsidR="00971D69" w:rsidRPr="00971D69" w:rsidRDefault="00971D69" w:rsidP="00971D69">
      <w:pPr>
        <w:pStyle w:val="ae"/>
        <w:numPr>
          <w:ilvl w:val="0"/>
          <w:numId w:val="25"/>
        </w:numPr>
        <w:spacing w:line="276" w:lineRule="auto"/>
        <w:jc w:val="both"/>
        <w:rPr>
          <w:rFonts w:ascii="Times New Roman" w:hAnsi="Times New Roman"/>
          <w:sz w:val="24"/>
          <w:szCs w:val="24"/>
        </w:rPr>
      </w:pPr>
      <w:r>
        <w:rPr>
          <w:rFonts w:ascii="Times New Roman" w:hAnsi="Times New Roman"/>
          <w:b/>
          <w:sz w:val="24"/>
          <w:szCs w:val="24"/>
        </w:rPr>
        <w:t>Η μέση</w:t>
      </w:r>
      <w:r w:rsidRPr="00BE6DB9">
        <w:rPr>
          <w:rFonts w:ascii="Times New Roman" w:hAnsi="Times New Roman"/>
          <w:b/>
          <w:sz w:val="24"/>
          <w:szCs w:val="24"/>
        </w:rPr>
        <w:t xml:space="preserve"> μείωση των πωλήσεων ήταν </w:t>
      </w:r>
      <w:r>
        <w:rPr>
          <w:rFonts w:ascii="Times New Roman" w:hAnsi="Times New Roman"/>
          <w:b/>
          <w:sz w:val="24"/>
          <w:szCs w:val="24"/>
        </w:rPr>
        <w:t xml:space="preserve"> περίπου </w:t>
      </w:r>
      <w:r w:rsidRPr="00BE6DB9">
        <w:rPr>
          <w:rFonts w:ascii="Times New Roman" w:hAnsi="Times New Roman"/>
          <w:b/>
          <w:sz w:val="24"/>
          <w:szCs w:val="24"/>
        </w:rPr>
        <w:t>-</w:t>
      </w:r>
      <w:r>
        <w:rPr>
          <w:rFonts w:ascii="Times New Roman" w:hAnsi="Times New Roman"/>
          <w:b/>
          <w:sz w:val="24"/>
          <w:szCs w:val="24"/>
        </w:rPr>
        <w:t>10</w:t>
      </w:r>
      <w:r w:rsidRPr="00BE6DB9">
        <w:rPr>
          <w:rFonts w:ascii="Times New Roman" w:hAnsi="Times New Roman"/>
          <w:b/>
          <w:sz w:val="24"/>
          <w:szCs w:val="24"/>
        </w:rPr>
        <w:t>%,</w:t>
      </w:r>
      <w:r w:rsidRPr="00BE6DB9">
        <w:rPr>
          <w:rFonts w:ascii="Times New Roman" w:hAnsi="Times New Roman"/>
          <w:sz w:val="24"/>
          <w:szCs w:val="24"/>
        </w:rPr>
        <w:t xml:space="preserve"> λαμβάνοντας υπόψη και τις </w:t>
      </w:r>
      <w:r>
        <w:rPr>
          <w:rFonts w:ascii="Times New Roman" w:hAnsi="Times New Roman"/>
          <w:sz w:val="24"/>
          <w:szCs w:val="24"/>
        </w:rPr>
        <w:t xml:space="preserve">προαναφερθείσες </w:t>
      </w:r>
      <w:r w:rsidRPr="00BE6DB9">
        <w:rPr>
          <w:rFonts w:ascii="Times New Roman" w:hAnsi="Times New Roman"/>
          <w:sz w:val="24"/>
          <w:szCs w:val="24"/>
        </w:rPr>
        <w:t xml:space="preserve">σημαντικές διαφοροποιήσεις. </w:t>
      </w:r>
    </w:p>
    <w:p w:rsidR="00971D69" w:rsidRPr="00971D69" w:rsidRDefault="00971D69" w:rsidP="00971D69">
      <w:pPr>
        <w:pStyle w:val="ae"/>
        <w:numPr>
          <w:ilvl w:val="0"/>
          <w:numId w:val="25"/>
        </w:numPr>
        <w:spacing w:line="276" w:lineRule="auto"/>
        <w:rPr>
          <w:rFonts w:ascii="Times New Roman" w:hAnsi="Times New Roman"/>
          <w:b/>
          <w:sz w:val="24"/>
          <w:szCs w:val="24"/>
        </w:rPr>
      </w:pPr>
      <w:r>
        <w:rPr>
          <w:rFonts w:ascii="Times New Roman" w:hAnsi="Times New Roman"/>
          <w:b/>
          <w:sz w:val="24"/>
          <w:szCs w:val="24"/>
        </w:rPr>
        <w:t>Το ύψος του ποσοστού έκπτωσης</w:t>
      </w:r>
      <w:r>
        <w:rPr>
          <w:rFonts w:ascii="Times New Roman" w:hAnsi="Times New Roman"/>
          <w:sz w:val="24"/>
          <w:szCs w:val="24"/>
        </w:rPr>
        <w:t xml:space="preserve"> στις εμπορικές αγορές κυμάνθηκε </w:t>
      </w:r>
      <w:r>
        <w:rPr>
          <w:rFonts w:ascii="Times New Roman" w:hAnsi="Times New Roman"/>
          <w:b/>
          <w:sz w:val="24"/>
          <w:szCs w:val="24"/>
        </w:rPr>
        <w:t xml:space="preserve">από </w:t>
      </w:r>
      <w:r w:rsidRPr="007C4C09">
        <w:rPr>
          <w:rFonts w:ascii="Times New Roman" w:hAnsi="Times New Roman"/>
          <w:b/>
          <w:sz w:val="24"/>
          <w:szCs w:val="24"/>
        </w:rPr>
        <w:t>21</w:t>
      </w:r>
      <w:r>
        <w:rPr>
          <w:rFonts w:ascii="Times New Roman" w:hAnsi="Times New Roman"/>
          <w:b/>
          <w:sz w:val="24"/>
          <w:szCs w:val="24"/>
        </w:rPr>
        <w:t>%</w:t>
      </w:r>
      <w:r w:rsidRPr="007C4C09">
        <w:rPr>
          <w:rFonts w:ascii="Times New Roman" w:hAnsi="Times New Roman"/>
          <w:b/>
          <w:sz w:val="24"/>
          <w:szCs w:val="24"/>
        </w:rPr>
        <w:t xml:space="preserve"> έως 40%</w:t>
      </w:r>
      <w:r>
        <w:rPr>
          <w:rFonts w:ascii="Times New Roman" w:hAnsi="Times New Roman"/>
          <w:b/>
          <w:sz w:val="24"/>
          <w:szCs w:val="24"/>
        </w:rPr>
        <w:t>.</w:t>
      </w:r>
    </w:p>
    <w:p w:rsidR="00A9620F" w:rsidRPr="009C21FB" w:rsidRDefault="00A9620F" w:rsidP="009C21FB">
      <w:pPr>
        <w:pStyle w:val="ae"/>
        <w:numPr>
          <w:ilvl w:val="0"/>
          <w:numId w:val="25"/>
        </w:numPr>
        <w:spacing w:line="276" w:lineRule="auto"/>
        <w:jc w:val="both"/>
        <w:rPr>
          <w:rFonts w:ascii="Times New Roman" w:hAnsi="Times New Roman"/>
          <w:sz w:val="24"/>
          <w:szCs w:val="24"/>
        </w:rPr>
      </w:pPr>
      <w:r>
        <w:rPr>
          <w:rFonts w:ascii="Times New Roman" w:hAnsi="Times New Roman"/>
          <w:sz w:val="24"/>
          <w:szCs w:val="24"/>
        </w:rPr>
        <w:t>Οι Εμπορικοί Σύλλογοι της χώρας δήλωσαν για τις περιοχές του</w:t>
      </w:r>
      <w:r w:rsidR="00E56F64">
        <w:rPr>
          <w:rFonts w:ascii="Times New Roman" w:hAnsi="Times New Roman"/>
          <w:sz w:val="24"/>
          <w:szCs w:val="24"/>
        </w:rPr>
        <w:t>ς</w:t>
      </w:r>
      <w:r>
        <w:rPr>
          <w:rFonts w:ascii="Times New Roman" w:hAnsi="Times New Roman"/>
          <w:sz w:val="24"/>
          <w:szCs w:val="24"/>
        </w:rPr>
        <w:t xml:space="preserve"> παρόμοια εικόνα με αυτήν της πρωτογενούς έρευνας</w:t>
      </w:r>
      <w:r w:rsidR="00E56F64">
        <w:rPr>
          <w:rFonts w:ascii="Times New Roman" w:hAnsi="Times New Roman"/>
          <w:sz w:val="24"/>
          <w:szCs w:val="24"/>
        </w:rPr>
        <w:t>,</w:t>
      </w:r>
      <w:r>
        <w:rPr>
          <w:rFonts w:ascii="Times New Roman" w:hAnsi="Times New Roman"/>
          <w:sz w:val="24"/>
          <w:szCs w:val="24"/>
        </w:rPr>
        <w:t xml:space="preserve"> με πολλές περιοχές της χώρας να δηλώνουν σταθερές πωλήσεις τη φετινή θερινή εκπτωτική περίοδο. </w:t>
      </w:r>
    </w:p>
    <w:p w:rsidR="00A459C6" w:rsidRPr="00DE628D" w:rsidRDefault="00F93522" w:rsidP="00A459C6">
      <w:pPr>
        <w:pStyle w:val="ae"/>
        <w:numPr>
          <w:ilvl w:val="0"/>
          <w:numId w:val="25"/>
        </w:numPr>
        <w:spacing w:line="276" w:lineRule="auto"/>
        <w:jc w:val="both"/>
        <w:rPr>
          <w:rFonts w:ascii="Times New Roman" w:hAnsi="Times New Roman"/>
          <w:sz w:val="24"/>
          <w:szCs w:val="24"/>
        </w:rPr>
      </w:pPr>
      <w:r>
        <w:rPr>
          <w:rFonts w:ascii="Times New Roman" w:hAnsi="Times New Roman"/>
          <w:b/>
          <w:sz w:val="24"/>
          <w:szCs w:val="24"/>
        </w:rPr>
        <w:t>Οι επιχειρήσεις</w:t>
      </w:r>
      <w:r w:rsidR="00D506C5">
        <w:rPr>
          <w:rFonts w:ascii="Times New Roman" w:hAnsi="Times New Roman"/>
          <w:b/>
          <w:sz w:val="24"/>
          <w:szCs w:val="24"/>
        </w:rPr>
        <w:t xml:space="preserve"> των ΑΚΕ</w:t>
      </w:r>
      <w:r w:rsidR="007C4C09" w:rsidRPr="007C4C09">
        <w:rPr>
          <w:rFonts w:ascii="Times New Roman" w:hAnsi="Times New Roman"/>
          <w:b/>
          <w:sz w:val="24"/>
          <w:szCs w:val="24"/>
        </w:rPr>
        <w:t xml:space="preserve"> </w:t>
      </w:r>
      <w:r>
        <w:rPr>
          <w:rFonts w:ascii="Times New Roman" w:hAnsi="Times New Roman"/>
          <w:b/>
          <w:sz w:val="24"/>
          <w:szCs w:val="24"/>
        </w:rPr>
        <w:t xml:space="preserve">είχαν </w:t>
      </w:r>
      <w:r w:rsidR="00D506C5">
        <w:rPr>
          <w:rFonts w:ascii="Times New Roman" w:hAnsi="Times New Roman"/>
          <w:b/>
          <w:sz w:val="24"/>
          <w:szCs w:val="24"/>
        </w:rPr>
        <w:t>παρόμοιες</w:t>
      </w:r>
      <w:r w:rsidR="007C4C09">
        <w:rPr>
          <w:rFonts w:ascii="Times New Roman" w:hAnsi="Times New Roman"/>
          <w:b/>
          <w:sz w:val="24"/>
          <w:szCs w:val="24"/>
        </w:rPr>
        <w:t xml:space="preserve"> επιδόσεις στις θερινές εκπτώσεις σε σύγκριση με τις υπόλοιπες εμπορικές επιχειρήσεις. </w:t>
      </w:r>
    </w:p>
    <w:p w:rsidR="00A459C6" w:rsidRDefault="00A459C6" w:rsidP="00A459C6">
      <w:pPr>
        <w:pStyle w:val="ae"/>
        <w:rPr>
          <w:rFonts w:ascii="Times New Roman" w:hAnsi="Times New Roman"/>
          <w:b/>
          <w:i/>
          <w:sz w:val="24"/>
          <w:szCs w:val="24"/>
          <w:u w:val="single"/>
        </w:rPr>
      </w:pPr>
    </w:p>
    <w:p w:rsidR="009F45FD" w:rsidRDefault="009F45FD" w:rsidP="00A459C6">
      <w:pPr>
        <w:pStyle w:val="ae"/>
        <w:rPr>
          <w:rFonts w:ascii="Times New Roman" w:hAnsi="Times New Roman"/>
          <w:b/>
          <w:i/>
          <w:sz w:val="24"/>
          <w:szCs w:val="24"/>
          <w:u w:val="single"/>
        </w:rPr>
      </w:pPr>
    </w:p>
    <w:p w:rsidR="00D506C5" w:rsidRDefault="00D506C5" w:rsidP="00A459C6">
      <w:pPr>
        <w:pStyle w:val="ae"/>
        <w:rPr>
          <w:rFonts w:ascii="Times New Roman" w:hAnsi="Times New Roman"/>
          <w:b/>
          <w:i/>
          <w:sz w:val="24"/>
          <w:szCs w:val="24"/>
          <w:u w:val="single"/>
        </w:rPr>
      </w:pPr>
    </w:p>
    <w:p w:rsidR="009F45FD" w:rsidRPr="00E56F64" w:rsidRDefault="009F45FD" w:rsidP="009F45FD">
      <w:pPr>
        <w:pStyle w:val="p2"/>
        <w:spacing w:before="120"/>
        <w:rPr>
          <w:rStyle w:val="s1"/>
          <w:rFonts w:ascii="Times New Roman" w:hAnsi="Times New Roman"/>
          <w:b/>
          <w:color w:val="auto"/>
          <w:sz w:val="24"/>
          <w:szCs w:val="24"/>
        </w:rPr>
      </w:pPr>
      <w:r w:rsidRPr="00E56F64">
        <w:rPr>
          <w:rStyle w:val="s1"/>
          <w:rFonts w:ascii="Times New Roman" w:hAnsi="Times New Roman"/>
          <w:b/>
          <w:color w:val="auto"/>
          <w:sz w:val="24"/>
          <w:szCs w:val="24"/>
        </w:rPr>
        <w:t xml:space="preserve">Ο πρόεδρος της ΕΣΕΕ, κ. Βασίλης </w:t>
      </w:r>
      <w:proofErr w:type="spellStart"/>
      <w:r w:rsidRPr="00E56F64">
        <w:rPr>
          <w:rStyle w:val="s1"/>
          <w:rFonts w:ascii="Times New Roman" w:hAnsi="Times New Roman"/>
          <w:b/>
          <w:color w:val="auto"/>
          <w:sz w:val="24"/>
          <w:szCs w:val="24"/>
        </w:rPr>
        <w:t>Κορκίδης</w:t>
      </w:r>
      <w:proofErr w:type="spellEnd"/>
      <w:r w:rsidRPr="00E56F64">
        <w:rPr>
          <w:rStyle w:val="s1"/>
          <w:rFonts w:ascii="Times New Roman" w:hAnsi="Times New Roman"/>
          <w:b/>
          <w:color w:val="auto"/>
          <w:sz w:val="24"/>
          <w:szCs w:val="24"/>
        </w:rPr>
        <w:t xml:space="preserve"> δήλωσε τα εξής:</w:t>
      </w:r>
    </w:p>
    <w:p w:rsidR="009F45FD" w:rsidRPr="00E56F64" w:rsidRDefault="009F45FD" w:rsidP="009F45FD">
      <w:pPr>
        <w:pStyle w:val="p2"/>
        <w:spacing w:before="120"/>
        <w:rPr>
          <w:rFonts w:ascii="Times New Roman" w:hAnsi="Times New Roman"/>
          <w:color w:val="auto"/>
          <w:sz w:val="25"/>
          <w:szCs w:val="25"/>
        </w:rPr>
      </w:pPr>
    </w:p>
    <w:p w:rsidR="009F45FD" w:rsidRPr="00E56F64" w:rsidRDefault="009F45FD" w:rsidP="009F45FD">
      <w:pPr>
        <w:pStyle w:val="p1"/>
        <w:spacing w:line="276" w:lineRule="auto"/>
        <w:jc w:val="both"/>
        <w:rPr>
          <w:rStyle w:val="s1"/>
          <w:rFonts w:ascii="Times New Roman" w:hAnsi="Times New Roman"/>
          <w:color w:val="auto"/>
          <w:sz w:val="25"/>
          <w:szCs w:val="25"/>
        </w:rPr>
      </w:pPr>
      <w:r w:rsidRPr="00E56F64">
        <w:rPr>
          <w:rStyle w:val="s1"/>
          <w:rFonts w:ascii="Times New Roman" w:hAnsi="Times New Roman"/>
          <w:color w:val="auto"/>
          <w:sz w:val="25"/>
          <w:szCs w:val="25"/>
        </w:rPr>
        <w:t>«</w:t>
      </w:r>
      <w:r w:rsidR="00E16CF8" w:rsidRPr="00E56F64">
        <w:rPr>
          <w:rStyle w:val="s1"/>
          <w:rFonts w:ascii="Times New Roman" w:hAnsi="Times New Roman"/>
          <w:i/>
          <w:color w:val="auto"/>
          <w:sz w:val="25"/>
          <w:szCs w:val="25"/>
        </w:rPr>
        <w:t xml:space="preserve">Η καθιερωμένη έρευνα του ΙΝΕΜΥ της ΕΣΕΕ για τις θερινές εκπτώσεις ολοκληρώθηκε, χωρίς όμως τα επιθυμητά αποτελέσματα, αφού </w:t>
      </w:r>
      <w:r w:rsidR="00E56F64">
        <w:rPr>
          <w:rStyle w:val="s1"/>
          <w:rFonts w:ascii="Times New Roman" w:hAnsi="Times New Roman"/>
          <w:i/>
          <w:color w:val="auto"/>
          <w:sz w:val="25"/>
          <w:szCs w:val="25"/>
        </w:rPr>
        <w:t>ο</w:t>
      </w:r>
      <w:r w:rsidR="00E16CF8" w:rsidRPr="00E56F64">
        <w:rPr>
          <w:rStyle w:val="s1"/>
          <w:rFonts w:ascii="Times New Roman" w:hAnsi="Times New Roman"/>
          <w:i/>
          <w:color w:val="auto"/>
          <w:sz w:val="25"/>
          <w:szCs w:val="25"/>
        </w:rPr>
        <w:t xml:space="preserve"> τζίρος του διμήνου Ιουλίου-Αυγούστου στο λιανικό εμπόριο φαίνεται να κινήθηκε κάτω από τον </w:t>
      </w:r>
      <w:proofErr w:type="spellStart"/>
      <w:r w:rsidR="00E16CF8" w:rsidRPr="00E56F64">
        <w:rPr>
          <w:rStyle w:val="s1"/>
          <w:rFonts w:ascii="Times New Roman" w:hAnsi="Times New Roman"/>
          <w:i/>
          <w:color w:val="auto"/>
          <w:sz w:val="25"/>
          <w:szCs w:val="25"/>
        </w:rPr>
        <w:t>πήχυ</w:t>
      </w:r>
      <w:proofErr w:type="spellEnd"/>
      <w:r w:rsidR="00E16CF8" w:rsidRPr="00E56F64">
        <w:rPr>
          <w:rStyle w:val="s1"/>
          <w:rFonts w:ascii="Times New Roman" w:hAnsi="Times New Roman"/>
          <w:i/>
          <w:color w:val="auto"/>
          <w:sz w:val="25"/>
          <w:szCs w:val="25"/>
        </w:rPr>
        <w:t xml:space="preserve"> των 6 δις ευρώ. Το συνολικό ταμείο δείχνει ότι στις περισσότερες αστικές αγορές, η κίνηση ήταν υποτονική, ενώ στις τουριστικές περιοχές της Χώρας η «εισαγόμενη κατανάλωση» από τον τουρισμό δεν ήταν ικανοποιητική. Το ποσό του 1,2 δις ευρώ της α’ δόσης του φόρου εισοδήματος στο τέλος Ιουλίου σίγουρα έλειψε από τη κατανάλωση και γενικότερα είναι αντιληπτό ότι η </w:t>
      </w:r>
      <w:proofErr w:type="spellStart"/>
      <w:r w:rsidR="00E16CF8" w:rsidRPr="00E56F64">
        <w:rPr>
          <w:rStyle w:val="s1"/>
          <w:rFonts w:ascii="Times New Roman" w:hAnsi="Times New Roman"/>
          <w:i/>
          <w:color w:val="auto"/>
          <w:sz w:val="25"/>
          <w:szCs w:val="25"/>
        </w:rPr>
        <w:t>υπερφορολόγηση</w:t>
      </w:r>
      <w:proofErr w:type="spellEnd"/>
      <w:r w:rsidR="00E16CF8" w:rsidRPr="00E56F64">
        <w:rPr>
          <w:rStyle w:val="s1"/>
          <w:rFonts w:ascii="Times New Roman" w:hAnsi="Times New Roman"/>
          <w:i/>
          <w:color w:val="auto"/>
          <w:sz w:val="25"/>
          <w:szCs w:val="25"/>
        </w:rPr>
        <w:t xml:space="preserve"> «στραγγίζει» την αγορά. Οι σημαντικές αυξομειώσεις ανάλογα τα χαρακτηριστικά της κάθε περιοχής και οι αποκλίσεις μεταξύ κεντρικών και συνοικιακών περιοχών, αλλά και η εικόνα μεταξύ μικρών και μεγαλύτερων εμπορικών επιχειρήσεων διαμορφώνουν μία σύνθετη κατάσταση πραγμάτων. Είναι σαφές ότι η αγορά κινήθηκε </w:t>
      </w:r>
      <w:proofErr w:type="spellStart"/>
      <w:r w:rsidR="00E16CF8" w:rsidRPr="00E56F64">
        <w:rPr>
          <w:rStyle w:val="s1"/>
          <w:rFonts w:ascii="Times New Roman" w:hAnsi="Times New Roman"/>
          <w:i/>
          <w:color w:val="auto"/>
          <w:sz w:val="25"/>
          <w:szCs w:val="25"/>
        </w:rPr>
        <w:t>μεσοσταθμικά</w:t>
      </w:r>
      <w:proofErr w:type="spellEnd"/>
      <w:r w:rsidR="00E16CF8" w:rsidRPr="00E56F64">
        <w:rPr>
          <w:rStyle w:val="s1"/>
          <w:rFonts w:ascii="Times New Roman" w:hAnsi="Times New Roman"/>
          <w:i/>
          <w:color w:val="auto"/>
          <w:sz w:val="25"/>
          <w:szCs w:val="25"/>
        </w:rPr>
        <w:t xml:space="preserve"> αρνητικά και φέτος, που επιβεβαιώνει ότι τα προβλήματα των μικρομεσαίων του εμπορίου παραμένουν. Θα έλεγα ότι το λιανικό εμπόριο το μεγαλύτερο διάστημα της φετινής περιόδου των θερινών </w:t>
      </w:r>
      <w:r w:rsidR="00E56F64">
        <w:rPr>
          <w:rStyle w:val="s1"/>
          <w:rFonts w:ascii="Times New Roman" w:hAnsi="Times New Roman"/>
          <w:i/>
          <w:color w:val="auto"/>
          <w:sz w:val="25"/>
          <w:szCs w:val="25"/>
        </w:rPr>
        <w:t xml:space="preserve">εκπτώσεων βρέθηκε σε κατάσταση </w:t>
      </w:r>
      <w:r w:rsidR="00E56F64" w:rsidRPr="00E56F64">
        <w:rPr>
          <w:rStyle w:val="s1"/>
          <w:rFonts w:ascii="Times New Roman" w:hAnsi="Times New Roman"/>
          <w:i/>
          <w:color w:val="auto"/>
          <w:sz w:val="25"/>
          <w:szCs w:val="25"/>
        </w:rPr>
        <w:t>“</w:t>
      </w:r>
      <w:r w:rsidR="00E16CF8" w:rsidRPr="00E56F64">
        <w:rPr>
          <w:rStyle w:val="s1"/>
          <w:rFonts w:ascii="Times New Roman" w:hAnsi="Times New Roman"/>
          <w:i/>
          <w:color w:val="auto"/>
          <w:sz w:val="25"/>
          <w:szCs w:val="25"/>
        </w:rPr>
        <w:t>θερινής ραστώνης</w:t>
      </w:r>
      <w:r w:rsidR="00E56F64" w:rsidRPr="00E56F64">
        <w:rPr>
          <w:rStyle w:val="s1"/>
          <w:rFonts w:ascii="Times New Roman" w:hAnsi="Times New Roman"/>
          <w:i/>
          <w:color w:val="auto"/>
          <w:sz w:val="25"/>
          <w:szCs w:val="25"/>
        </w:rPr>
        <w:t>”</w:t>
      </w:r>
      <w:r w:rsidR="00A77D53" w:rsidRPr="00E56F64">
        <w:rPr>
          <w:rStyle w:val="s1"/>
          <w:rFonts w:ascii="Times New Roman" w:hAnsi="Times New Roman"/>
          <w:i/>
          <w:color w:val="auto"/>
          <w:sz w:val="25"/>
          <w:szCs w:val="25"/>
        </w:rPr>
        <w:t>»</w:t>
      </w:r>
      <w:r w:rsidR="00E56F64">
        <w:rPr>
          <w:rStyle w:val="s1"/>
          <w:rFonts w:ascii="Times New Roman" w:hAnsi="Times New Roman"/>
          <w:i/>
          <w:color w:val="auto"/>
          <w:sz w:val="25"/>
          <w:szCs w:val="25"/>
        </w:rPr>
        <w:t>.</w:t>
      </w:r>
    </w:p>
    <w:p w:rsidR="000E3F01" w:rsidRDefault="000E3F01" w:rsidP="00A459C6">
      <w:pPr>
        <w:pStyle w:val="ae"/>
        <w:rPr>
          <w:rFonts w:ascii="Times New Roman" w:hAnsi="Times New Roman"/>
          <w:b/>
          <w:i/>
          <w:sz w:val="24"/>
          <w:szCs w:val="24"/>
          <w:u w:val="single"/>
        </w:rPr>
      </w:pPr>
    </w:p>
    <w:p w:rsidR="002069A1" w:rsidRDefault="002069A1" w:rsidP="00A459C6">
      <w:pPr>
        <w:pStyle w:val="ae"/>
        <w:rPr>
          <w:rFonts w:ascii="Times New Roman" w:hAnsi="Times New Roman"/>
          <w:b/>
          <w:i/>
          <w:sz w:val="24"/>
          <w:szCs w:val="24"/>
          <w:u w:val="single"/>
        </w:rPr>
      </w:pPr>
    </w:p>
    <w:p w:rsidR="002069A1" w:rsidRDefault="002069A1" w:rsidP="00A459C6">
      <w:pPr>
        <w:pStyle w:val="ae"/>
        <w:rPr>
          <w:rFonts w:ascii="Times New Roman" w:hAnsi="Times New Roman"/>
          <w:b/>
          <w:i/>
          <w:sz w:val="24"/>
          <w:szCs w:val="24"/>
          <w:u w:val="single"/>
        </w:rPr>
      </w:pPr>
    </w:p>
    <w:p w:rsidR="002069A1" w:rsidRDefault="002069A1" w:rsidP="00A459C6">
      <w:pPr>
        <w:pStyle w:val="ae"/>
        <w:rPr>
          <w:rFonts w:ascii="Times New Roman" w:hAnsi="Times New Roman"/>
          <w:b/>
          <w:i/>
          <w:sz w:val="24"/>
          <w:szCs w:val="24"/>
          <w:u w:val="single"/>
        </w:rPr>
      </w:pPr>
    </w:p>
    <w:p w:rsidR="002069A1" w:rsidRDefault="002069A1" w:rsidP="00A459C6">
      <w:pPr>
        <w:pStyle w:val="ae"/>
        <w:rPr>
          <w:rFonts w:ascii="Times New Roman" w:hAnsi="Times New Roman"/>
          <w:b/>
          <w:i/>
          <w:sz w:val="24"/>
          <w:szCs w:val="24"/>
          <w:u w:val="single"/>
        </w:rPr>
      </w:pPr>
    </w:p>
    <w:p w:rsidR="004A75ED" w:rsidRPr="005A7FB4" w:rsidRDefault="00A459C6" w:rsidP="00A459C6">
      <w:pPr>
        <w:pStyle w:val="ae"/>
        <w:rPr>
          <w:rFonts w:ascii="Times New Roman" w:hAnsi="Times New Roman"/>
          <w:b/>
          <w:i/>
          <w:sz w:val="24"/>
          <w:szCs w:val="24"/>
          <w:u w:val="single"/>
        </w:rPr>
      </w:pPr>
      <w:r>
        <w:rPr>
          <w:rFonts w:ascii="Times New Roman" w:hAnsi="Times New Roman"/>
          <w:b/>
          <w:i/>
          <w:sz w:val="24"/>
          <w:szCs w:val="24"/>
          <w:u w:val="single"/>
        </w:rPr>
        <w:lastRenderedPageBreak/>
        <w:t>Τα α</w:t>
      </w:r>
      <w:r w:rsidR="005A7FB4">
        <w:rPr>
          <w:rFonts w:ascii="Times New Roman" w:hAnsi="Times New Roman"/>
          <w:b/>
          <w:i/>
          <w:sz w:val="24"/>
          <w:szCs w:val="24"/>
          <w:u w:val="single"/>
        </w:rPr>
        <w:t>ποτελέσματα των θερινών εκπτώσεων</w:t>
      </w:r>
    </w:p>
    <w:p w:rsidR="00FF134A" w:rsidRDefault="00FF134A" w:rsidP="00FF134A">
      <w:pPr>
        <w:spacing w:before="120" w:after="0"/>
        <w:rPr>
          <w:rFonts w:ascii="Times New Roman" w:hAnsi="Times New Roman"/>
          <w:b/>
          <w:sz w:val="24"/>
          <w:szCs w:val="24"/>
        </w:rPr>
      </w:pPr>
    </w:p>
    <w:p w:rsidR="00FF134A" w:rsidRPr="006830FF" w:rsidRDefault="00FF134A" w:rsidP="006830FF">
      <w:pPr>
        <w:jc w:val="both"/>
        <w:rPr>
          <w:rFonts w:ascii="Times New Roman" w:hAnsi="Times New Roman" w:cs="Times New Roman"/>
          <w:sz w:val="24"/>
          <w:szCs w:val="24"/>
        </w:rPr>
      </w:pPr>
      <w:r w:rsidRPr="00BE6DB9">
        <w:rPr>
          <w:rFonts w:ascii="Times New Roman" w:hAnsi="Times New Roman" w:cs="Times New Roman"/>
          <w:sz w:val="24"/>
          <w:szCs w:val="24"/>
        </w:rPr>
        <w:t xml:space="preserve">Περίπου μία στις δύο επιχειρήσεις, επέλεξε να διαμορφώσει το ποσοστό των εκπτώσεων μεταξύ 21% και 40%, </w:t>
      </w:r>
      <w:r>
        <w:rPr>
          <w:rFonts w:ascii="Times New Roman" w:hAnsi="Times New Roman" w:cs="Times New Roman"/>
          <w:sz w:val="24"/>
          <w:szCs w:val="24"/>
        </w:rPr>
        <w:t>ενώ μία στις</w:t>
      </w:r>
      <w:r w:rsidR="00A9620F">
        <w:rPr>
          <w:rFonts w:ascii="Times New Roman" w:hAnsi="Times New Roman" w:cs="Times New Roman"/>
          <w:sz w:val="24"/>
          <w:szCs w:val="24"/>
        </w:rPr>
        <w:t xml:space="preserve"> πέντε</w:t>
      </w:r>
      <w:r>
        <w:rPr>
          <w:rFonts w:ascii="Times New Roman" w:hAnsi="Times New Roman" w:cs="Times New Roman"/>
          <w:sz w:val="24"/>
          <w:szCs w:val="24"/>
        </w:rPr>
        <w:t xml:space="preserve"> επιχειρήσεις πραγματοποίησ</w:t>
      </w:r>
      <w:r w:rsidR="00A9620F">
        <w:rPr>
          <w:rFonts w:ascii="Times New Roman" w:hAnsi="Times New Roman" w:cs="Times New Roman"/>
          <w:sz w:val="24"/>
          <w:szCs w:val="24"/>
        </w:rPr>
        <w:t>ε</w:t>
      </w:r>
      <w:r>
        <w:rPr>
          <w:rFonts w:ascii="Times New Roman" w:hAnsi="Times New Roman" w:cs="Times New Roman"/>
          <w:sz w:val="24"/>
          <w:szCs w:val="24"/>
        </w:rPr>
        <w:t xml:space="preserve"> εκπτώσεις από 41% - 50%.</w:t>
      </w:r>
    </w:p>
    <w:p w:rsidR="00FF134A" w:rsidRDefault="00FF134A" w:rsidP="00A459C6">
      <w:pPr>
        <w:spacing w:before="120" w:after="0"/>
        <w:jc w:val="center"/>
        <w:rPr>
          <w:rFonts w:ascii="Times New Roman" w:hAnsi="Times New Roman"/>
          <w:b/>
          <w:sz w:val="24"/>
          <w:szCs w:val="24"/>
        </w:rPr>
      </w:pPr>
      <w:r w:rsidRPr="00FF134A">
        <w:rPr>
          <w:rFonts w:ascii="Times New Roman" w:hAnsi="Times New Roman"/>
          <w:b/>
          <w:noProof/>
          <w:sz w:val="24"/>
          <w:szCs w:val="24"/>
          <w:lang w:eastAsia="el-GR"/>
        </w:rPr>
        <w:drawing>
          <wp:inline distT="0" distB="0" distL="0" distR="0">
            <wp:extent cx="4382353" cy="2518012"/>
            <wp:effectExtent l="19050" t="0" r="18197" b="0"/>
            <wp:docPr id="5"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134A" w:rsidRPr="00180FD1" w:rsidRDefault="00FF134A" w:rsidP="00180FD1">
      <w:pPr>
        <w:spacing w:before="120" w:after="0"/>
        <w:rPr>
          <w:rFonts w:ascii="Times New Roman" w:hAnsi="Times New Roman"/>
          <w:b/>
          <w:sz w:val="24"/>
          <w:szCs w:val="24"/>
          <w:u w:val="single"/>
        </w:rPr>
      </w:pPr>
    </w:p>
    <w:p w:rsidR="00180FD1" w:rsidRPr="00180FD1" w:rsidRDefault="00180FD1" w:rsidP="00180FD1">
      <w:pPr>
        <w:spacing w:before="120" w:after="0"/>
        <w:rPr>
          <w:rFonts w:ascii="Times New Roman" w:hAnsi="Times New Roman"/>
          <w:b/>
          <w:sz w:val="24"/>
          <w:szCs w:val="24"/>
          <w:u w:val="single"/>
        </w:rPr>
      </w:pPr>
      <w:r w:rsidRPr="00180FD1">
        <w:rPr>
          <w:rFonts w:ascii="Times New Roman" w:hAnsi="Times New Roman"/>
          <w:b/>
          <w:sz w:val="24"/>
          <w:szCs w:val="24"/>
          <w:u w:val="single"/>
        </w:rPr>
        <w:t xml:space="preserve">Πωλήσεις </w:t>
      </w:r>
    </w:p>
    <w:p w:rsidR="00180FD1" w:rsidRDefault="00180FD1" w:rsidP="00180FD1">
      <w:pPr>
        <w:spacing w:before="120" w:after="0"/>
        <w:rPr>
          <w:rFonts w:ascii="Times New Roman" w:hAnsi="Times New Roman"/>
          <w:b/>
          <w:sz w:val="24"/>
          <w:szCs w:val="24"/>
        </w:rPr>
      </w:pPr>
    </w:p>
    <w:p w:rsidR="00FF134A" w:rsidRPr="00F705CC" w:rsidRDefault="00FF134A" w:rsidP="00F705CC">
      <w:pPr>
        <w:jc w:val="both"/>
        <w:rPr>
          <w:rFonts w:ascii="Times New Roman" w:hAnsi="Times New Roman" w:cs="Times New Roman"/>
          <w:sz w:val="24"/>
          <w:szCs w:val="24"/>
        </w:rPr>
      </w:pPr>
      <w:r w:rsidRPr="00180FD1">
        <w:rPr>
          <w:rFonts w:ascii="Times New Roman" w:hAnsi="Times New Roman" w:cs="Times New Roman"/>
          <w:b/>
          <w:sz w:val="24"/>
          <w:szCs w:val="24"/>
        </w:rPr>
        <w:t>Οι περισσότερες επιχειρήσεις (60%) παρουσίασαν μείωση των πωλήσεων</w:t>
      </w:r>
      <w:r w:rsidRPr="00FF134A">
        <w:rPr>
          <w:rFonts w:ascii="Times New Roman" w:hAnsi="Times New Roman" w:cs="Times New Roman"/>
          <w:sz w:val="24"/>
          <w:szCs w:val="24"/>
        </w:rPr>
        <w:t xml:space="preserve"> τους την θερινή εκπτωτική περίοδο του 2018, ενώ περίπου μια στις τέσσερις σταθεροποίησε τις πωλήσεις στα περσινά επίπεδα. </w:t>
      </w:r>
      <w:r w:rsidRPr="00180FD1">
        <w:rPr>
          <w:rFonts w:ascii="Times New Roman" w:hAnsi="Times New Roman" w:cs="Times New Roman"/>
          <w:b/>
          <w:sz w:val="24"/>
          <w:szCs w:val="24"/>
        </w:rPr>
        <w:t>Σε σύγκριση με τις αντίστοιχες επιδόσεις του προηγούμενου έτους, σημειώνεται</w:t>
      </w:r>
      <w:r w:rsidR="00180FD1" w:rsidRPr="00180FD1">
        <w:rPr>
          <w:rFonts w:ascii="Times New Roman" w:hAnsi="Times New Roman" w:cs="Times New Roman"/>
          <w:b/>
          <w:sz w:val="24"/>
          <w:szCs w:val="24"/>
        </w:rPr>
        <w:t xml:space="preserve"> μια οριακή βελτίωση λαμβάνοντας</w:t>
      </w:r>
      <w:r w:rsidRPr="00180FD1">
        <w:rPr>
          <w:rFonts w:ascii="Times New Roman" w:hAnsi="Times New Roman" w:cs="Times New Roman"/>
          <w:b/>
          <w:sz w:val="24"/>
          <w:szCs w:val="24"/>
        </w:rPr>
        <w:t xml:space="preserve"> υπόψη ότι περισσότερες επιχειρήσεις (11% το 2018 σε σύγκριση με</w:t>
      </w:r>
      <w:r w:rsidR="00180FD1" w:rsidRPr="00180FD1">
        <w:rPr>
          <w:rFonts w:ascii="Times New Roman" w:hAnsi="Times New Roman" w:cs="Times New Roman"/>
          <w:b/>
          <w:sz w:val="24"/>
          <w:szCs w:val="24"/>
        </w:rPr>
        <w:t xml:space="preserve"> </w:t>
      </w:r>
      <w:r w:rsidRPr="00180FD1">
        <w:rPr>
          <w:rFonts w:ascii="Times New Roman" w:hAnsi="Times New Roman" w:cs="Times New Roman"/>
          <w:b/>
          <w:sz w:val="24"/>
          <w:szCs w:val="24"/>
        </w:rPr>
        <w:t xml:space="preserve"> 6% το 2017)</w:t>
      </w:r>
      <w:r w:rsidR="00180FD1" w:rsidRPr="00180FD1">
        <w:rPr>
          <w:rFonts w:ascii="Times New Roman" w:hAnsi="Times New Roman" w:cs="Times New Roman"/>
          <w:b/>
          <w:sz w:val="24"/>
          <w:szCs w:val="24"/>
        </w:rPr>
        <w:t xml:space="preserve"> αύξησαν τις πωλήσεις τους την θερινή εκπτωτική περίοδο</w:t>
      </w:r>
      <w:r w:rsidR="00180FD1">
        <w:rPr>
          <w:rFonts w:ascii="Times New Roman" w:hAnsi="Times New Roman" w:cs="Times New Roman"/>
          <w:sz w:val="24"/>
          <w:szCs w:val="24"/>
        </w:rPr>
        <w:t xml:space="preserve">. </w:t>
      </w:r>
      <w:r w:rsidR="00A9620F">
        <w:rPr>
          <w:rFonts w:ascii="Times New Roman" w:hAnsi="Times New Roman" w:cs="Times New Roman"/>
          <w:sz w:val="24"/>
          <w:szCs w:val="24"/>
        </w:rPr>
        <w:t>Παρ</w:t>
      </w:r>
      <w:r w:rsidR="00E56F64">
        <w:rPr>
          <w:rFonts w:ascii="Times New Roman" w:hAnsi="Times New Roman" w:cs="Times New Roman"/>
          <w:sz w:val="24"/>
          <w:szCs w:val="24"/>
        </w:rPr>
        <w:t>’</w:t>
      </w:r>
      <w:r w:rsidR="00A9620F">
        <w:rPr>
          <w:rFonts w:ascii="Times New Roman" w:hAnsi="Times New Roman" w:cs="Times New Roman"/>
          <w:sz w:val="24"/>
          <w:szCs w:val="24"/>
        </w:rPr>
        <w:t xml:space="preserve"> όλα αυτά, η αύξηση των πωλήσεων για τις επιχειρήσεις αυτές ήταν χαμηλή της τάξης του 5%. </w:t>
      </w:r>
    </w:p>
    <w:p w:rsidR="00DF6337" w:rsidRDefault="00FF134A" w:rsidP="00180FD1">
      <w:pPr>
        <w:jc w:val="center"/>
        <w:rPr>
          <w:rFonts w:ascii="Times New Roman" w:hAnsi="Times New Roman" w:cs="Times New Roman"/>
          <w:b/>
          <w:sz w:val="25"/>
          <w:szCs w:val="25"/>
        </w:rPr>
      </w:pPr>
      <w:r w:rsidRPr="00FF134A">
        <w:rPr>
          <w:rFonts w:ascii="Times New Roman" w:hAnsi="Times New Roman" w:cs="Times New Roman"/>
          <w:b/>
          <w:noProof/>
          <w:sz w:val="25"/>
          <w:szCs w:val="25"/>
          <w:lang w:eastAsia="el-GR"/>
        </w:rPr>
        <w:drawing>
          <wp:inline distT="0" distB="0" distL="0" distR="0">
            <wp:extent cx="4578018" cy="2777320"/>
            <wp:effectExtent l="19050" t="0" r="13032" b="3980"/>
            <wp:docPr id="6"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69A1" w:rsidRDefault="002069A1" w:rsidP="00180FD1">
      <w:pPr>
        <w:jc w:val="both"/>
        <w:rPr>
          <w:rFonts w:ascii="Times New Roman" w:hAnsi="Times New Roman" w:cs="Times New Roman"/>
          <w:b/>
          <w:sz w:val="24"/>
          <w:szCs w:val="24"/>
          <w:u w:val="single"/>
        </w:rPr>
      </w:pPr>
    </w:p>
    <w:p w:rsidR="00180FD1" w:rsidRPr="00180FD1" w:rsidRDefault="00180FD1" w:rsidP="00180FD1">
      <w:pPr>
        <w:jc w:val="both"/>
        <w:rPr>
          <w:rFonts w:ascii="Times New Roman" w:hAnsi="Times New Roman" w:cs="Times New Roman"/>
          <w:b/>
          <w:sz w:val="24"/>
          <w:szCs w:val="24"/>
          <w:u w:val="single"/>
        </w:rPr>
      </w:pPr>
      <w:r w:rsidRPr="00180FD1">
        <w:rPr>
          <w:rFonts w:ascii="Times New Roman" w:hAnsi="Times New Roman" w:cs="Times New Roman"/>
          <w:b/>
          <w:sz w:val="24"/>
          <w:szCs w:val="24"/>
          <w:u w:val="single"/>
        </w:rPr>
        <w:lastRenderedPageBreak/>
        <w:t>Αγοραστική κίνηση</w:t>
      </w:r>
    </w:p>
    <w:p w:rsidR="005E767F" w:rsidRPr="00180FD1" w:rsidRDefault="00180FD1" w:rsidP="00180FD1">
      <w:pPr>
        <w:jc w:val="both"/>
        <w:rPr>
          <w:rFonts w:ascii="Times New Roman" w:hAnsi="Times New Roman" w:cs="Times New Roman"/>
          <w:sz w:val="24"/>
          <w:szCs w:val="24"/>
        </w:rPr>
      </w:pPr>
      <w:r>
        <w:rPr>
          <w:rFonts w:ascii="Times New Roman" w:hAnsi="Times New Roman" w:cs="Times New Roman"/>
          <w:sz w:val="24"/>
          <w:szCs w:val="24"/>
        </w:rPr>
        <w:t>Όπως ήταν αναμενόμενο</w:t>
      </w:r>
      <w:r w:rsidR="005E767F" w:rsidRPr="00BE6DB9">
        <w:rPr>
          <w:rFonts w:ascii="Times New Roman" w:hAnsi="Times New Roman" w:cs="Times New Roman"/>
          <w:sz w:val="24"/>
          <w:szCs w:val="24"/>
        </w:rPr>
        <w:t xml:space="preserve">, όσον αφορά </w:t>
      </w:r>
      <w:r w:rsidR="00A9620F">
        <w:rPr>
          <w:rFonts w:ascii="Times New Roman" w:hAnsi="Times New Roman" w:cs="Times New Roman"/>
          <w:sz w:val="24"/>
          <w:szCs w:val="24"/>
        </w:rPr>
        <w:t>τ</w:t>
      </w:r>
      <w:r w:rsidR="005E767F" w:rsidRPr="00BE6DB9">
        <w:rPr>
          <w:rFonts w:ascii="Times New Roman" w:hAnsi="Times New Roman" w:cs="Times New Roman"/>
          <w:sz w:val="24"/>
          <w:szCs w:val="24"/>
        </w:rPr>
        <w:t>η</w:t>
      </w:r>
      <w:r w:rsidR="00A9620F">
        <w:rPr>
          <w:rFonts w:ascii="Times New Roman" w:hAnsi="Times New Roman" w:cs="Times New Roman"/>
          <w:sz w:val="24"/>
          <w:szCs w:val="24"/>
        </w:rPr>
        <w:t>ν καλύτερη περίοδο</w:t>
      </w:r>
      <w:r w:rsidR="005E767F" w:rsidRPr="00BE6DB9">
        <w:rPr>
          <w:rFonts w:ascii="Times New Roman" w:hAnsi="Times New Roman" w:cs="Times New Roman"/>
          <w:sz w:val="24"/>
          <w:szCs w:val="24"/>
        </w:rPr>
        <w:t xml:space="preserve"> των θερινών εκπτώσεων, </w:t>
      </w:r>
      <w:r>
        <w:rPr>
          <w:rFonts w:ascii="Times New Roman" w:hAnsi="Times New Roman" w:cs="Times New Roman"/>
          <w:sz w:val="24"/>
          <w:szCs w:val="24"/>
        </w:rPr>
        <w:t xml:space="preserve">οι περισσότερες επιχειρήσεις (44%) κρίνουν ως καλύτερη αγοραστικά περίοδο </w:t>
      </w:r>
      <w:r>
        <w:rPr>
          <w:rFonts w:ascii="Times New Roman" w:hAnsi="Times New Roman" w:cs="Times New Roman"/>
          <w:b/>
          <w:sz w:val="24"/>
          <w:szCs w:val="24"/>
        </w:rPr>
        <w:t>το πρώτο εικοσαήμερο</w:t>
      </w:r>
      <w:r w:rsidR="005E767F" w:rsidRPr="00BE6DB9">
        <w:rPr>
          <w:rFonts w:ascii="Times New Roman" w:hAnsi="Times New Roman" w:cs="Times New Roman"/>
          <w:b/>
          <w:sz w:val="24"/>
          <w:szCs w:val="24"/>
        </w:rPr>
        <w:t xml:space="preserve"> τις εκπτωτικής περιόδου, δηλαδή από </w:t>
      </w:r>
      <w:r>
        <w:rPr>
          <w:rFonts w:ascii="Times New Roman" w:hAnsi="Times New Roman" w:cs="Times New Roman"/>
          <w:b/>
          <w:sz w:val="24"/>
          <w:szCs w:val="24"/>
        </w:rPr>
        <w:t>9</w:t>
      </w:r>
      <w:r w:rsidR="005E767F" w:rsidRPr="00BE6DB9">
        <w:rPr>
          <w:rFonts w:ascii="Times New Roman" w:hAnsi="Times New Roman" w:cs="Times New Roman"/>
          <w:b/>
          <w:sz w:val="24"/>
          <w:szCs w:val="24"/>
        </w:rPr>
        <w:t>/7/2017 έως 31/7/2017.</w:t>
      </w:r>
      <w:r w:rsidR="005E767F" w:rsidRPr="00BE6DB9">
        <w:rPr>
          <w:rFonts w:ascii="Times New Roman" w:hAnsi="Times New Roman" w:cs="Times New Roman"/>
          <w:sz w:val="24"/>
          <w:szCs w:val="24"/>
        </w:rPr>
        <w:t xml:space="preserve"> </w:t>
      </w:r>
      <w:r>
        <w:rPr>
          <w:rFonts w:ascii="Times New Roman" w:hAnsi="Times New Roman" w:cs="Times New Roman"/>
          <w:sz w:val="24"/>
          <w:szCs w:val="24"/>
        </w:rPr>
        <w:t>Σημαντικό είναι το ποσοστό των επιχειρήσεων (29%) που προτιμά με όρους αγοραστικής κίνησης την επόμενη ακριβώς περίοδο (1/8 – 15/8).</w:t>
      </w:r>
    </w:p>
    <w:p w:rsidR="00180FD1" w:rsidRPr="005E767F" w:rsidRDefault="00180FD1" w:rsidP="00180FD1">
      <w:pPr>
        <w:jc w:val="center"/>
        <w:rPr>
          <w:rFonts w:ascii="Times New Roman" w:hAnsi="Times New Roman" w:cs="Times New Roman"/>
          <w:noProof/>
          <w:sz w:val="25"/>
          <w:szCs w:val="25"/>
          <w:lang w:eastAsia="el-GR"/>
        </w:rPr>
      </w:pPr>
      <w:r w:rsidRPr="00180FD1">
        <w:rPr>
          <w:rFonts w:ascii="Times New Roman" w:hAnsi="Times New Roman" w:cs="Times New Roman"/>
          <w:noProof/>
          <w:sz w:val="25"/>
          <w:szCs w:val="25"/>
          <w:lang w:eastAsia="el-GR"/>
        </w:rPr>
        <w:drawing>
          <wp:inline distT="0" distB="0" distL="0" distR="0">
            <wp:extent cx="4574843" cy="2668137"/>
            <wp:effectExtent l="19050" t="0" r="16207" b="0"/>
            <wp:docPr id="9"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2CB1" w:rsidRPr="00180FD1" w:rsidRDefault="007F2CB1" w:rsidP="00180FD1">
      <w:pPr>
        <w:rPr>
          <w:rFonts w:ascii="Times New Roman" w:hAnsi="Times New Roman" w:cs="Times New Roman"/>
          <w:b/>
          <w:sz w:val="24"/>
          <w:szCs w:val="24"/>
          <w:u w:val="single"/>
        </w:rPr>
      </w:pPr>
      <w:r w:rsidRPr="00180FD1">
        <w:rPr>
          <w:rFonts w:ascii="Times New Roman" w:hAnsi="Times New Roman" w:cs="Times New Roman"/>
          <w:b/>
          <w:sz w:val="24"/>
          <w:szCs w:val="24"/>
          <w:u w:val="single"/>
        </w:rPr>
        <w:t>Τρόπος πληρωμής</w:t>
      </w:r>
    </w:p>
    <w:p w:rsidR="005E767F" w:rsidRPr="00F705CC" w:rsidRDefault="005E767F" w:rsidP="00F705CC">
      <w:pPr>
        <w:jc w:val="both"/>
        <w:rPr>
          <w:rFonts w:ascii="Times New Roman" w:hAnsi="Times New Roman" w:cs="Times New Roman"/>
          <w:sz w:val="24"/>
          <w:szCs w:val="24"/>
        </w:rPr>
      </w:pPr>
      <w:r w:rsidRPr="00BE6DB9">
        <w:rPr>
          <w:rFonts w:ascii="Times New Roman" w:hAnsi="Times New Roman" w:cs="Times New Roman"/>
          <w:sz w:val="24"/>
          <w:szCs w:val="24"/>
        </w:rPr>
        <w:t xml:space="preserve">Όσον αφορά τον τρόπο πληρωμής που επέλεξαν οι καταναλωτές για τις αγορές τους εντός των θερινών εκπτώσεων, το </w:t>
      </w:r>
      <w:r w:rsidR="00180FD1">
        <w:rPr>
          <w:rFonts w:ascii="Times New Roman" w:hAnsi="Times New Roman" w:cs="Times New Roman"/>
          <w:sz w:val="24"/>
          <w:szCs w:val="24"/>
        </w:rPr>
        <w:t>48</w:t>
      </w:r>
      <w:r w:rsidRPr="00BE6DB9">
        <w:rPr>
          <w:rFonts w:ascii="Times New Roman" w:hAnsi="Times New Roman" w:cs="Times New Roman"/>
          <w:sz w:val="24"/>
          <w:szCs w:val="24"/>
        </w:rPr>
        <w:t>% των επιχειρηματιών απάντησε ότι ή</w:t>
      </w:r>
      <w:r w:rsidR="00A81AD3">
        <w:rPr>
          <w:rFonts w:ascii="Times New Roman" w:hAnsi="Times New Roman" w:cs="Times New Roman"/>
          <w:sz w:val="24"/>
          <w:szCs w:val="24"/>
        </w:rPr>
        <w:t>ταν κυρίως με πιστωτικές κάρτες</w:t>
      </w:r>
      <w:r w:rsidR="00180FD1">
        <w:rPr>
          <w:rFonts w:ascii="Times New Roman" w:hAnsi="Times New Roman" w:cs="Times New Roman"/>
          <w:sz w:val="24"/>
          <w:szCs w:val="24"/>
        </w:rPr>
        <w:t>, το 33</w:t>
      </w:r>
      <w:r w:rsidRPr="00BE6DB9">
        <w:rPr>
          <w:rFonts w:ascii="Times New Roman" w:hAnsi="Times New Roman" w:cs="Times New Roman"/>
          <w:sz w:val="24"/>
          <w:szCs w:val="24"/>
        </w:rPr>
        <w:t xml:space="preserve">% ότι χρησιμοποίησαν πιστωτικές κάρτες και μετρητά στον ίδιο βαθμό και το </w:t>
      </w:r>
      <w:r w:rsidR="00180FD1">
        <w:rPr>
          <w:rFonts w:ascii="Times New Roman" w:hAnsi="Times New Roman" w:cs="Times New Roman"/>
          <w:sz w:val="24"/>
          <w:szCs w:val="24"/>
        </w:rPr>
        <w:t>18</w:t>
      </w:r>
      <w:r w:rsidRPr="00BE6DB9">
        <w:rPr>
          <w:rFonts w:ascii="Times New Roman" w:hAnsi="Times New Roman" w:cs="Times New Roman"/>
          <w:sz w:val="24"/>
          <w:szCs w:val="24"/>
        </w:rPr>
        <w:t xml:space="preserve">% κυρίως με μετρητά. </w:t>
      </w:r>
    </w:p>
    <w:p w:rsidR="005E767F" w:rsidRDefault="00180FD1" w:rsidP="006830FF">
      <w:pPr>
        <w:spacing w:after="0" w:line="240" w:lineRule="auto"/>
        <w:jc w:val="center"/>
        <w:rPr>
          <w:rFonts w:ascii="Times New Roman" w:hAnsi="Times New Roman"/>
          <w:sz w:val="24"/>
          <w:szCs w:val="24"/>
        </w:rPr>
      </w:pPr>
      <w:r w:rsidRPr="00180FD1">
        <w:rPr>
          <w:rFonts w:ascii="Times New Roman" w:hAnsi="Times New Roman"/>
          <w:noProof/>
          <w:sz w:val="24"/>
          <w:szCs w:val="24"/>
          <w:lang w:eastAsia="el-GR"/>
        </w:rPr>
        <w:drawing>
          <wp:inline distT="0" distB="0" distL="0" distR="0">
            <wp:extent cx="4443768" cy="2523405"/>
            <wp:effectExtent l="19050" t="0" r="13932" b="0"/>
            <wp:docPr id="14"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6DB9" w:rsidRDefault="00BE6DB9" w:rsidP="005E767F">
      <w:pPr>
        <w:spacing w:after="0" w:line="240" w:lineRule="auto"/>
        <w:jc w:val="both"/>
        <w:rPr>
          <w:rFonts w:ascii="Times New Roman" w:hAnsi="Times New Roman"/>
          <w:sz w:val="24"/>
          <w:szCs w:val="24"/>
        </w:rPr>
      </w:pPr>
    </w:p>
    <w:p w:rsidR="00AC00A6" w:rsidRPr="00DF6337" w:rsidRDefault="00AC00A6" w:rsidP="005A7FB4">
      <w:pPr>
        <w:spacing w:after="0" w:line="240" w:lineRule="auto"/>
        <w:jc w:val="center"/>
        <w:rPr>
          <w:rFonts w:ascii="Times New Roman" w:hAnsi="Times New Roman"/>
          <w:b/>
          <w:sz w:val="24"/>
          <w:szCs w:val="24"/>
          <w:u w:val="single"/>
        </w:rPr>
      </w:pPr>
    </w:p>
    <w:p w:rsidR="00F410FE" w:rsidRDefault="000E3F01" w:rsidP="005B1D76">
      <w:pPr>
        <w:spacing w:after="0" w:line="240" w:lineRule="auto"/>
        <w:rPr>
          <w:rFonts w:ascii="Times New Roman" w:hAnsi="Times New Roman"/>
          <w:b/>
          <w:sz w:val="24"/>
          <w:szCs w:val="24"/>
          <w:u w:val="single"/>
        </w:rPr>
      </w:pPr>
      <w:r>
        <w:rPr>
          <w:rFonts w:ascii="Times New Roman" w:hAnsi="Times New Roman"/>
          <w:b/>
          <w:sz w:val="24"/>
          <w:szCs w:val="24"/>
          <w:u w:val="single"/>
        </w:rPr>
        <w:t xml:space="preserve">Κυριακή </w:t>
      </w:r>
    </w:p>
    <w:p w:rsidR="000E3F01" w:rsidRDefault="000E3F01" w:rsidP="000E3F01">
      <w:pPr>
        <w:spacing w:after="0"/>
        <w:jc w:val="both"/>
        <w:rPr>
          <w:rFonts w:ascii="Times New Roman" w:hAnsi="Times New Roman"/>
          <w:b/>
          <w:sz w:val="24"/>
          <w:szCs w:val="24"/>
          <w:u w:val="single"/>
        </w:rPr>
      </w:pPr>
    </w:p>
    <w:p w:rsidR="000E3F01" w:rsidRDefault="000E3F01" w:rsidP="000E3F01">
      <w:pPr>
        <w:spacing w:after="0"/>
        <w:jc w:val="both"/>
        <w:rPr>
          <w:rFonts w:ascii="Times New Roman" w:hAnsi="Times New Roman" w:cs="Times New Roman"/>
          <w:sz w:val="24"/>
          <w:szCs w:val="24"/>
        </w:rPr>
      </w:pPr>
      <w:r>
        <w:rPr>
          <w:rFonts w:ascii="Times New Roman" w:hAnsi="Times New Roman" w:cs="Times New Roman"/>
          <w:sz w:val="24"/>
          <w:szCs w:val="24"/>
        </w:rPr>
        <w:t xml:space="preserve">Ένα χρόνο μετά </w:t>
      </w:r>
      <w:r w:rsidR="005E767F" w:rsidRPr="00BE6DB9">
        <w:rPr>
          <w:rFonts w:ascii="Times New Roman" w:hAnsi="Times New Roman" w:cs="Times New Roman"/>
          <w:sz w:val="24"/>
          <w:szCs w:val="24"/>
        </w:rPr>
        <w:t xml:space="preserve"> </w:t>
      </w:r>
      <w:r>
        <w:rPr>
          <w:rFonts w:ascii="Times New Roman" w:hAnsi="Times New Roman" w:cs="Times New Roman"/>
          <w:sz w:val="24"/>
          <w:szCs w:val="24"/>
        </w:rPr>
        <w:t>την</w:t>
      </w:r>
      <w:r w:rsidR="005E767F" w:rsidRPr="00BE6DB9">
        <w:rPr>
          <w:rFonts w:ascii="Times New Roman" w:hAnsi="Times New Roman" w:cs="Times New Roman"/>
          <w:sz w:val="24"/>
          <w:szCs w:val="24"/>
        </w:rPr>
        <w:t xml:space="preserve"> έναρξη εφαρμογής της Υπουργικής Απόφασης (75812 - 06/07/2017) για το άνοιγμα των καταστημάτων της Κυριακές σε συγκεκριμένες γεωγραφικές περιοχές</w:t>
      </w:r>
      <w:r w:rsidR="00A9620F">
        <w:rPr>
          <w:rFonts w:ascii="Times New Roman" w:hAnsi="Times New Roman" w:cs="Times New Roman"/>
          <w:sz w:val="24"/>
          <w:szCs w:val="24"/>
        </w:rPr>
        <w:t>,</w:t>
      </w:r>
      <w:r>
        <w:rPr>
          <w:rFonts w:ascii="Times New Roman" w:hAnsi="Times New Roman" w:cs="Times New Roman"/>
          <w:sz w:val="24"/>
          <w:szCs w:val="24"/>
        </w:rPr>
        <w:t xml:space="preserve"> </w:t>
      </w:r>
      <w:r w:rsidR="00180FD1">
        <w:rPr>
          <w:rFonts w:ascii="Times New Roman" w:hAnsi="Times New Roman" w:cs="Times New Roman"/>
          <w:sz w:val="24"/>
          <w:szCs w:val="24"/>
        </w:rPr>
        <w:t xml:space="preserve">το ΙΝΕΜΥ συνεχίζει να </w:t>
      </w:r>
      <w:r w:rsidR="00E56F64">
        <w:rPr>
          <w:rFonts w:ascii="Times New Roman" w:hAnsi="Times New Roman" w:cs="Times New Roman"/>
          <w:sz w:val="24"/>
          <w:szCs w:val="24"/>
        </w:rPr>
        <w:t>ανιχνεύει</w:t>
      </w:r>
      <w:r w:rsidR="00180FD1">
        <w:rPr>
          <w:rFonts w:ascii="Times New Roman" w:hAnsi="Times New Roman" w:cs="Times New Roman"/>
          <w:sz w:val="24"/>
          <w:szCs w:val="24"/>
        </w:rPr>
        <w:t xml:space="preserve"> τον οικονομικό </w:t>
      </w:r>
      <w:r w:rsidR="00C6756B">
        <w:rPr>
          <w:rFonts w:ascii="Times New Roman" w:hAnsi="Times New Roman" w:cs="Times New Roman"/>
          <w:sz w:val="24"/>
          <w:szCs w:val="24"/>
        </w:rPr>
        <w:t xml:space="preserve"> και </w:t>
      </w:r>
      <w:r w:rsidR="00C6756B">
        <w:rPr>
          <w:rFonts w:ascii="Times New Roman" w:hAnsi="Times New Roman" w:cs="Times New Roman"/>
          <w:sz w:val="24"/>
          <w:szCs w:val="24"/>
        </w:rPr>
        <w:lastRenderedPageBreak/>
        <w:t xml:space="preserve">λειτουργικό, </w:t>
      </w:r>
      <w:r w:rsidR="00180FD1">
        <w:rPr>
          <w:rFonts w:ascii="Times New Roman" w:hAnsi="Times New Roman" w:cs="Times New Roman"/>
          <w:sz w:val="24"/>
          <w:szCs w:val="24"/>
        </w:rPr>
        <w:t xml:space="preserve">σε επίπεδο επιχείρησης, αντίκτυπο του ανοίγματος σε όσες επιχειρήσεις </w:t>
      </w:r>
      <w:r w:rsidR="00C6756B">
        <w:rPr>
          <w:rFonts w:ascii="Times New Roman" w:hAnsi="Times New Roman" w:cs="Times New Roman"/>
          <w:sz w:val="24"/>
          <w:szCs w:val="24"/>
        </w:rPr>
        <w:t>επέλεξαν</w:t>
      </w:r>
      <w:r w:rsidR="00180FD1">
        <w:rPr>
          <w:rFonts w:ascii="Times New Roman" w:hAnsi="Times New Roman" w:cs="Times New Roman"/>
          <w:sz w:val="24"/>
          <w:szCs w:val="24"/>
        </w:rPr>
        <w:t xml:space="preserve"> να ανοίξουν το κατάστημα τους την Κυριακή. </w:t>
      </w:r>
    </w:p>
    <w:p w:rsidR="00180FD1" w:rsidRDefault="00180FD1" w:rsidP="000E3F01">
      <w:pPr>
        <w:spacing w:after="0"/>
        <w:jc w:val="both"/>
        <w:rPr>
          <w:rFonts w:ascii="Times New Roman" w:hAnsi="Times New Roman" w:cs="Times New Roman"/>
          <w:sz w:val="24"/>
          <w:szCs w:val="24"/>
        </w:rPr>
      </w:pPr>
    </w:p>
    <w:p w:rsidR="00F705CC" w:rsidRPr="005E767F" w:rsidRDefault="00F705CC" w:rsidP="000E3F01">
      <w:pPr>
        <w:spacing w:after="0"/>
        <w:jc w:val="both"/>
        <w:rPr>
          <w:rFonts w:ascii="Times New Roman" w:hAnsi="Times New Roman" w:cs="Times New Roman"/>
          <w:sz w:val="25"/>
          <w:szCs w:val="25"/>
        </w:rPr>
      </w:pPr>
    </w:p>
    <w:p w:rsidR="005E767F" w:rsidRPr="00582E63" w:rsidRDefault="00582E63" w:rsidP="002D04E4">
      <w:pPr>
        <w:tabs>
          <w:tab w:val="left" w:pos="3581"/>
        </w:tabs>
        <w:jc w:val="both"/>
        <w:rPr>
          <w:rFonts w:ascii="Times New Roman" w:hAnsi="Times New Roman" w:cs="Times New Roman"/>
          <w:b/>
          <w:sz w:val="24"/>
          <w:szCs w:val="24"/>
        </w:rPr>
      </w:pPr>
      <w:r>
        <w:rPr>
          <w:rFonts w:ascii="Times New Roman" w:hAnsi="Times New Roman" w:cs="Times New Roman"/>
          <w:b/>
          <w:sz w:val="24"/>
          <w:szCs w:val="24"/>
          <w:u w:val="single"/>
        </w:rPr>
        <w:t>Οι επιχειρήσεις</w:t>
      </w:r>
      <w:r w:rsidR="002D04E4" w:rsidRPr="00582E63">
        <w:rPr>
          <w:rFonts w:ascii="Times New Roman" w:hAnsi="Times New Roman" w:cs="Times New Roman"/>
          <w:b/>
          <w:sz w:val="24"/>
          <w:szCs w:val="24"/>
        </w:rPr>
        <w:tab/>
      </w:r>
    </w:p>
    <w:p w:rsidR="005E767F" w:rsidRPr="00BE6DB9" w:rsidRDefault="005E767F" w:rsidP="005E767F">
      <w:pPr>
        <w:jc w:val="both"/>
        <w:rPr>
          <w:rFonts w:ascii="Times New Roman" w:hAnsi="Times New Roman" w:cs="Times New Roman"/>
          <w:sz w:val="24"/>
          <w:szCs w:val="24"/>
        </w:rPr>
      </w:pPr>
      <w:r w:rsidRPr="00BE6DB9">
        <w:rPr>
          <w:rFonts w:ascii="Times New Roman" w:hAnsi="Times New Roman" w:cs="Times New Roman"/>
          <w:sz w:val="24"/>
          <w:szCs w:val="24"/>
        </w:rPr>
        <w:t xml:space="preserve">Για τα καταστήματα που άνοιξαν την Κυριακή </w:t>
      </w:r>
      <w:r w:rsidR="00C6756B">
        <w:rPr>
          <w:rFonts w:ascii="Times New Roman" w:hAnsi="Times New Roman" w:cs="Times New Roman"/>
          <w:sz w:val="24"/>
          <w:szCs w:val="24"/>
        </w:rPr>
        <w:t>15 Ιουλίου</w:t>
      </w:r>
      <w:r w:rsidR="00E56F64">
        <w:rPr>
          <w:rFonts w:ascii="Times New Roman" w:hAnsi="Times New Roman" w:cs="Times New Roman"/>
          <w:sz w:val="24"/>
          <w:szCs w:val="24"/>
        </w:rPr>
        <w:t>,</w:t>
      </w:r>
      <w:r w:rsidR="00C6756B">
        <w:rPr>
          <w:rFonts w:ascii="Times New Roman" w:hAnsi="Times New Roman" w:cs="Times New Roman"/>
          <w:sz w:val="24"/>
          <w:szCs w:val="24"/>
        </w:rPr>
        <w:t xml:space="preserve"> το 47</w:t>
      </w:r>
      <w:r w:rsidRPr="00BE6DB9">
        <w:rPr>
          <w:rFonts w:ascii="Times New Roman" w:hAnsi="Times New Roman" w:cs="Times New Roman"/>
          <w:sz w:val="24"/>
          <w:szCs w:val="24"/>
        </w:rPr>
        <w:t>% των επιχειρηματιών  πιστεύει ότι το άνοιγμα του καταστήματος την Κυριακή δεν επηρέασε τον συνολικό τζίρο της θ</w:t>
      </w:r>
      <w:r w:rsidR="00C6756B">
        <w:rPr>
          <w:rFonts w:ascii="Times New Roman" w:hAnsi="Times New Roman" w:cs="Times New Roman"/>
          <w:sz w:val="24"/>
          <w:szCs w:val="24"/>
        </w:rPr>
        <w:t>ερινής εκπτωτικής περιόδου, το 49</w:t>
      </w:r>
      <w:r w:rsidRPr="00BE6DB9">
        <w:rPr>
          <w:rFonts w:ascii="Times New Roman" w:hAnsi="Times New Roman" w:cs="Times New Roman"/>
          <w:sz w:val="24"/>
          <w:szCs w:val="24"/>
        </w:rPr>
        <w:t xml:space="preserve">% ότι τον επηρέασε αρνητικά και μόλις το </w:t>
      </w:r>
      <w:r w:rsidR="00C6756B">
        <w:rPr>
          <w:rFonts w:ascii="Times New Roman" w:hAnsi="Times New Roman" w:cs="Times New Roman"/>
          <w:sz w:val="24"/>
          <w:szCs w:val="24"/>
        </w:rPr>
        <w:t>4</w:t>
      </w:r>
      <w:r w:rsidRPr="00BE6DB9">
        <w:rPr>
          <w:rFonts w:ascii="Times New Roman" w:hAnsi="Times New Roman" w:cs="Times New Roman"/>
          <w:sz w:val="24"/>
          <w:szCs w:val="24"/>
        </w:rPr>
        <w:t>% δηλώνει ότι συνέτεινε θετικά.</w:t>
      </w:r>
      <w:r w:rsidR="00C6756B">
        <w:rPr>
          <w:rFonts w:ascii="Times New Roman" w:hAnsi="Times New Roman" w:cs="Times New Roman"/>
          <w:sz w:val="24"/>
          <w:szCs w:val="24"/>
        </w:rPr>
        <w:t xml:space="preserve"> Να σημειωθεί ότι το 4% αποτελεί τη χειρότερη επίδοση για τις Κυριακές που έχει καταγραφεί ποτέ από το ΙΝΕΜΥ.</w:t>
      </w:r>
    </w:p>
    <w:p w:rsidR="005E767F" w:rsidRDefault="005E767F" w:rsidP="005E767F">
      <w:pPr>
        <w:spacing w:after="0" w:line="240" w:lineRule="auto"/>
        <w:jc w:val="center"/>
        <w:rPr>
          <w:rFonts w:ascii="Times New Roman" w:hAnsi="Times New Roman" w:cs="Times New Roman"/>
          <w:noProof/>
          <w:sz w:val="25"/>
          <w:szCs w:val="25"/>
          <w:lang w:eastAsia="el-GR"/>
        </w:rPr>
      </w:pPr>
    </w:p>
    <w:p w:rsidR="00C6756B" w:rsidRDefault="00C6756B" w:rsidP="005E767F">
      <w:pPr>
        <w:spacing w:after="0" w:line="240" w:lineRule="auto"/>
        <w:jc w:val="center"/>
        <w:rPr>
          <w:rFonts w:ascii="Times New Roman" w:hAnsi="Times New Roman" w:cs="Times New Roman"/>
          <w:noProof/>
          <w:sz w:val="25"/>
          <w:szCs w:val="25"/>
          <w:lang w:eastAsia="el-GR"/>
        </w:rPr>
      </w:pPr>
      <w:r w:rsidRPr="00C6756B">
        <w:rPr>
          <w:rFonts w:ascii="Times New Roman" w:hAnsi="Times New Roman" w:cs="Times New Roman"/>
          <w:noProof/>
          <w:sz w:val="25"/>
          <w:szCs w:val="25"/>
          <w:lang w:eastAsia="el-GR"/>
        </w:rPr>
        <w:drawing>
          <wp:inline distT="0" distB="0" distL="0" distR="0">
            <wp:extent cx="4399963" cy="2320119"/>
            <wp:effectExtent l="0" t="0" r="0" b="0"/>
            <wp:docPr id="15"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756B" w:rsidRPr="005E767F" w:rsidRDefault="00C6756B" w:rsidP="005E767F">
      <w:pPr>
        <w:spacing w:after="0" w:line="240" w:lineRule="auto"/>
        <w:jc w:val="center"/>
        <w:rPr>
          <w:rFonts w:ascii="Times New Roman" w:hAnsi="Times New Roman" w:cs="Times New Roman"/>
          <w:sz w:val="25"/>
          <w:szCs w:val="25"/>
        </w:rPr>
      </w:pPr>
    </w:p>
    <w:p w:rsidR="005E767F" w:rsidRPr="005E767F" w:rsidRDefault="005E767F" w:rsidP="005E767F">
      <w:pPr>
        <w:spacing w:after="0" w:line="240" w:lineRule="auto"/>
        <w:jc w:val="both"/>
        <w:rPr>
          <w:rFonts w:ascii="Times New Roman" w:hAnsi="Times New Roman" w:cs="Times New Roman"/>
          <w:sz w:val="25"/>
          <w:szCs w:val="25"/>
        </w:rPr>
      </w:pPr>
    </w:p>
    <w:p w:rsidR="005E767F" w:rsidRPr="00BE6DB9" w:rsidRDefault="00C6756B" w:rsidP="005E767F">
      <w:pPr>
        <w:jc w:val="both"/>
        <w:rPr>
          <w:rFonts w:ascii="Times New Roman" w:hAnsi="Times New Roman" w:cs="Times New Roman"/>
          <w:sz w:val="24"/>
          <w:szCs w:val="24"/>
        </w:rPr>
      </w:pPr>
      <w:r>
        <w:rPr>
          <w:rFonts w:ascii="Times New Roman" w:hAnsi="Times New Roman" w:cs="Times New Roman"/>
          <w:sz w:val="24"/>
          <w:szCs w:val="24"/>
        </w:rPr>
        <w:t>Το 77% των επιχειρήσεων</w:t>
      </w:r>
      <w:r w:rsidR="005E767F" w:rsidRPr="00BE6DB9">
        <w:rPr>
          <w:rFonts w:ascii="Times New Roman" w:hAnsi="Times New Roman" w:cs="Times New Roman"/>
          <w:sz w:val="24"/>
          <w:szCs w:val="24"/>
        </w:rPr>
        <w:t xml:space="preserve"> που άνοιξαν την Κυριακή </w:t>
      </w:r>
      <w:r>
        <w:rPr>
          <w:rFonts w:ascii="Times New Roman" w:hAnsi="Times New Roman" w:cs="Times New Roman"/>
          <w:sz w:val="24"/>
          <w:szCs w:val="24"/>
        </w:rPr>
        <w:t>15</w:t>
      </w:r>
      <w:r w:rsidR="005E767F" w:rsidRPr="00BE6DB9">
        <w:rPr>
          <w:rFonts w:ascii="Times New Roman" w:hAnsi="Times New Roman" w:cs="Times New Roman"/>
          <w:sz w:val="24"/>
          <w:szCs w:val="24"/>
        </w:rPr>
        <w:t xml:space="preserve"> Ιουλίου τα καταστήματά τους, έχουν επωμιστεί οι ίδιοι την κάλυψη της ανάγκης απασχόλησης προσωπικού, ενώ το </w:t>
      </w:r>
      <w:r>
        <w:rPr>
          <w:rFonts w:ascii="Times New Roman" w:hAnsi="Times New Roman" w:cs="Times New Roman"/>
          <w:sz w:val="24"/>
          <w:szCs w:val="24"/>
        </w:rPr>
        <w:t>23</w:t>
      </w:r>
      <w:r w:rsidR="005E767F" w:rsidRPr="00BE6DB9">
        <w:rPr>
          <w:rFonts w:ascii="Times New Roman" w:hAnsi="Times New Roman" w:cs="Times New Roman"/>
          <w:sz w:val="24"/>
          <w:szCs w:val="24"/>
        </w:rPr>
        <w:t xml:space="preserve">% έχει επεκτείνει το ωράριο των υπαλλήλων που απασχολεί. </w:t>
      </w:r>
    </w:p>
    <w:p w:rsidR="00C6756B" w:rsidRPr="005E767F" w:rsidRDefault="00C6756B" w:rsidP="006830FF">
      <w:pPr>
        <w:jc w:val="center"/>
        <w:rPr>
          <w:rFonts w:ascii="Times New Roman" w:hAnsi="Times New Roman" w:cs="Times New Roman"/>
          <w:noProof/>
          <w:sz w:val="25"/>
          <w:szCs w:val="25"/>
          <w:lang w:eastAsia="el-GR"/>
        </w:rPr>
      </w:pPr>
      <w:r w:rsidRPr="00C6756B">
        <w:rPr>
          <w:rFonts w:ascii="Times New Roman" w:hAnsi="Times New Roman" w:cs="Times New Roman"/>
          <w:noProof/>
          <w:sz w:val="25"/>
          <w:szCs w:val="25"/>
          <w:lang w:eastAsia="el-GR"/>
        </w:rPr>
        <w:drawing>
          <wp:inline distT="0" distB="0" distL="0" distR="0">
            <wp:extent cx="4389489" cy="2463421"/>
            <wp:effectExtent l="19050" t="0" r="11061" b="0"/>
            <wp:docPr id="16"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767F" w:rsidRPr="00BE6DB9" w:rsidRDefault="005E767F" w:rsidP="005E767F">
      <w:pPr>
        <w:jc w:val="both"/>
        <w:rPr>
          <w:rFonts w:ascii="Times New Roman" w:hAnsi="Times New Roman" w:cs="Times New Roman"/>
          <w:sz w:val="24"/>
          <w:szCs w:val="24"/>
        </w:rPr>
      </w:pPr>
      <w:r w:rsidRPr="00BE6DB9">
        <w:rPr>
          <w:rFonts w:ascii="Times New Roman" w:hAnsi="Times New Roman" w:cs="Times New Roman"/>
          <w:sz w:val="24"/>
          <w:szCs w:val="24"/>
        </w:rPr>
        <w:t xml:space="preserve">Όσον αφορά την </w:t>
      </w:r>
      <w:proofErr w:type="spellStart"/>
      <w:r w:rsidRPr="00BE6DB9">
        <w:rPr>
          <w:rFonts w:ascii="Times New Roman" w:hAnsi="Times New Roman" w:cs="Times New Roman"/>
          <w:sz w:val="24"/>
          <w:szCs w:val="24"/>
        </w:rPr>
        <w:t>επισκεψιμότητα</w:t>
      </w:r>
      <w:proofErr w:type="spellEnd"/>
      <w:r w:rsidRPr="00BE6DB9">
        <w:rPr>
          <w:rFonts w:ascii="Times New Roman" w:hAnsi="Times New Roman" w:cs="Times New Roman"/>
          <w:sz w:val="24"/>
          <w:szCs w:val="24"/>
        </w:rPr>
        <w:t xml:space="preserve"> του καταστήματος και αν αυτή έχει αυξηθεί</w:t>
      </w:r>
      <w:r w:rsidR="00464397">
        <w:rPr>
          <w:rFonts w:ascii="Times New Roman" w:hAnsi="Times New Roman" w:cs="Times New Roman"/>
          <w:sz w:val="24"/>
          <w:szCs w:val="24"/>
        </w:rPr>
        <w:t>,</w:t>
      </w:r>
      <w:r w:rsidRPr="00BE6DB9">
        <w:rPr>
          <w:rFonts w:ascii="Times New Roman" w:hAnsi="Times New Roman" w:cs="Times New Roman"/>
          <w:sz w:val="24"/>
          <w:szCs w:val="24"/>
        </w:rPr>
        <w:t xml:space="preserve"> από το γεγονός ότι παραμένουν ανοιχτά τα καταστήματα τις Κυριακές, το </w:t>
      </w:r>
      <w:r w:rsidR="00C6756B" w:rsidRPr="00C6756B">
        <w:rPr>
          <w:rFonts w:ascii="Times New Roman" w:hAnsi="Times New Roman" w:cs="Times New Roman"/>
          <w:sz w:val="24"/>
          <w:szCs w:val="24"/>
        </w:rPr>
        <w:t>60</w:t>
      </w:r>
      <w:r w:rsidRPr="00BE6DB9">
        <w:rPr>
          <w:rFonts w:ascii="Times New Roman" w:hAnsi="Times New Roman" w:cs="Times New Roman"/>
          <w:sz w:val="24"/>
          <w:szCs w:val="24"/>
        </w:rPr>
        <w:t xml:space="preserve">% δηλώνει ότι δεν υπάρχει καμία βελτίωση. Το </w:t>
      </w:r>
      <w:r w:rsidR="00C6756B" w:rsidRPr="00C6756B">
        <w:rPr>
          <w:rFonts w:ascii="Times New Roman" w:hAnsi="Times New Roman" w:cs="Times New Roman"/>
          <w:sz w:val="24"/>
          <w:szCs w:val="24"/>
        </w:rPr>
        <w:t>34</w:t>
      </w:r>
      <w:r w:rsidRPr="00BE6DB9">
        <w:rPr>
          <w:rFonts w:ascii="Times New Roman" w:hAnsi="Times New Roman" w:cs="Times New Roman"/>
          <w:sz w:val="24"/>
          <w:szCs w:val="24"/>
        </w:rPr>
        <w:t xml:space="preserve">% απαντάει ότι το άνοιγμα τις Κυριακές έχει </w:t>
      </w:r>
      <w:r w:rsidRPr="00BE6DB9">
        <w:rPr>
          <w:rFonts w:ascii="Times New Roman" w:hAnsi="Times New Roman" w:cs="Times New Roman"/>
          <w:sz w:val="24"/>
          <w:szCs w:val="24"/>
        </w:rPr>
        <w:lastRenderedPageBreak/>
        <w:t>συμβάλει σε μικρό βαθμό στην</w:t>
      </w:r>
      <w:r w:rsidR="00C6756B">
        <w:rPr>
          <w:rFonts w:ascii="Times New Roman" w:hAnsi="Times New Roman" w:cs="Times New Roman"/>
          <w:sz w:val="24"/>
          <w:szCs w:val="24"/>
        </w:rPr>
        <w:t xml:space="preserve"> αύξηση της </w:t>
      </w:r>
      <w:proofErr w:type="spellStart"/>
      <w:r w:rsidR="00C6756B">
        <w:rPr>
          <w:rFonts w:ascii="Times New Roman" w:hAnsi="Times New Roman" w:cs="Times New Roman"/>
          <w:sz w:val="24"/>
          <w:szCs w:val="24"/>
        </w:rPr>
        <w:t>επισκεψιμότητας</w:t>
      </w:r>
      <w:proofErr w:type="spellEnd"/>
      <w:r w:rsidR="00C6756B">
        <w:rPr>
          <w:rFonts w:ascii="Times New Roman" w:hAnsi="Times New Roman" w:cs="Times New Roman"/>
          <w:sz w:val="24"/>
          <w:szCs w:val="24"/>
        </w:rPr>
        <w:t xml:space="preserve"> και</w:t>
      </w:r>
      <w:r w:rsidR="00C6756B" w:rsidRPr="00C6756B">
        <w:rPr>
          <w:rFonts w:ascii="Times New Roman" w:hAnsi="Times New Roman" w:cs="Times New Roman"/>
          <w:sz w:val="24"/>
          <w:szCs w:val="24"/>
        </w:rPr>
        <w:t xml:space="preserve"> </w:t>
      </w:r>
      <w:r w:rsidR="00C6756B">
        <w:rPr>
          <w:rFonts w:ascii="Times New Roman" w:hAnsi="Times New Roman" w:cs="Times New Roman"/>
          <w:sz w:val="24"/>
          <w:szCs w:val="24"/>
        </w:rPr>
        <w:t>μόλις το</w:t>
      </w:r>
      <w:r w:rsidRPr="00BE6DB9">
        <w:rPr>
          <w:rFonts w:ascii="Times New Roman" w:hAnsi="Times New Roman" w:cs="Times New Roman"/>
          <w:sz w:val="24"/>
          <w:szCs w:val="24"/>
        </w:rPr>
        <w:t xml:space="preserve"> </w:t>
      </w:r>
      <w:r w:rsidR="00C6756B">
        <w:rPr>
          <w:rFonts w:ascii="Times New Roman" w:hAnsi="Times New Roman" w:cs="Times New Roman"/>
          <w:sz w:val="24"/>
          <w:szCs w:val="24"/>
        </w:rPr>
        <w:t>6</w:t>
      </w:r>
      <w:r w:rsidRPr="00BE6DB9">
        <w:rPr>
          <w:rFonts w:ascii="Times New Roman" w:hAnsi="Times New Roman" w:cs="Times New Roman"/>
          <w:sz w:val="24"/>
          <w:szCs w:val="24"/>
        </w:rPr>
        <w:t>% ότι έχει συμβάλει πάρα πολύ ή πολύ.</w:t>
      </w:r>
    </w:p>
    <w:p w:rsidR="005E767F" w:rsidRPr="005E767F" w:rsidRDefault="00C6756B" w:rsidP="005E767F">
      <w:pPr>
        <w:jc w:val="center"/>
        <w:rPr>
          <w:rFonts w:ascii="Times New Roman" w:hAnsi="Times New Roman" w:cs="Times New Roman"/>
          <w:sz w:val="25"/>
          <w:szCs w:val="25"/>
        </w:rPr>
      </w:pPr>
      <w:r w:rsidRPr="00C6756B">
        <w:rPr>
          <w:rFonts w:ascii="Times New Roman" w:hAnsi="Times New Roman" w:cs="Times New Roman"/>
          <w:noProof/>
          <w:sz w:val="25"/>
          <w:szCs w:val="25"/>
          <w:lang w:eastAsia="el-GR"/>
        </w:rPr>
        <w:drawing>
          <wp:inline distT="0" distB="0" distL="0" distR="0">
            <wp:extent cx="4195881" cy="2613546"/>
            <wp:effectExtent l="19050" t="0" r="14169" b="0"/>
            <wp:docPr id="18"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767F" w:rsidRDefault="005E767F" w:rsidP="005E767F">
      <w:pPr>
        <w:rPr>
          <w:rFonts w:ascii="Times New Roman" w:hAnsi="Times New Roman" w:cs="Times New Roman"/>
          <w:sz w:val="25"/>
          <w:szCs w:val="25"/>
          <w:lang w:val="en-US"/>
        </w:rPr>
      </w:pPr>
    </w:p>
    <w:p w:rsidR="00C6756B" w:rsidRDefault="00C6756B" w:rsidP="005E767F">
      <w:pPr>
        <w:rPr>
          <w:rFonts w:ascii="Times New Roman" w:hAnsi="Times New Roman" w:cs="Times New Roman"/>
          <w:sz w:val="25"/>
          <w:szCs w:val="25"/>
          <w:lang w:val="en-US"/>
        </w:rPr>
      </w:pPr>
    </w:p>
    <w:p w:rsidR="00C6756B" w:rsidRDefault="00C6756B" w:rsidP="005E767F">
      <w:pPr>
        <w:rPr>
          <w:rFonts w:ascii="Times New Roman" w:hAnsi="Times New Roman" w:cs="Times New Roman"/>
          <w:sz w:val="25"/>
          <w:szCs w:val="25"/>
          <w:lang w:val="en-US"/>
        </w:rPr>
      </w:pPr>
    </w:p>
    <w:p w:rsidR="00C6756B" w:rsidRPr="00C6756B" w:rsidRDefault="00C6756B" w:rsidP="005E767F">
      <w:pPr>
        <w:rPr>
          <w:rFonts w:ascii="Times New Roman" w:hAnsi="Times New Roman" w:cs="Times New Roman"/>
          <w:sz w:val="25"/>
          <w:szCs w:val="25"/>
          <w:lang w:val="en-US"/>
        </w:rPr>
      </w:pPr>
    </w:p>
    <w:p w:rsidR="00843996" w:rsidRPr="00C6756B" w:rsidRDefault="00843996" w:rsidP="00EC608F">
      <w:pPr>
        <w:pStyle w:val="p2"/>
        <w:spacing w:before="120"/>
        <w:rPr>
          <w:rStyle w:val="s1"/>
          <w:rFonts w:ascii="Times New Roman" w:hAnsi="Times New Roman"/>
          <w:b/>
          <w:sz w:val="24"/>
          <w:szCs w:val="24"/>
          <w:lang w:val="en-US"/>
        </w:rPr>
      </w:pPr>
    </w:p>
    <w:p w:rsidR="00843996" w:rsidRDefault="00843996" w:rsidP="00EC608F">
      <w:pPr>
        <w:pStyle w:val="p2"/>
        <w:spacing w:before="120"/>
        <w:rPr>
          <w:rStyle w:val="s1"/>
          <w:rFonts w:ascii="Times New Roman" w:hAnsi="Times New Roman"/>
          <w:b/>
          <w:sz w:val="24"/>
          <w:szCs w:val="24"/>
          <w:lang w:val="en-US"/>
        </w:rPr>
      </w:pPr>
    </w:p>
    <w:p w:rsidR="00A9620F" w:rsidRDefault="00A9620F"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EE5DF5" w:rsidRDefault="00EE5DF5" w:rsidP="00843996">
      <w:pPr>
        <w:pStyle w:val="ae"/>
        <w:jc w:val="center"/>
        <w:rPr>
          <w:rFonts w:ascii="Times New Roman" w:hAnsi="Times New Roman"/>
          <w:b/>
          <w:i/>
          <w:sz w:val="28"/>
          <w:szCs w:val="28"/>
          <w:u w:val="single"/>
        </w:rPr>
      </w:pPr>
    </w:p>
    <w:p w:rsidR="00A9620F" w:rsidRDefault="00A9620F" w:rsidP="00843996">
      <w:pPr>
        <w:pStyle w:val="ae"/>
        <w:jc w:val="center"/>
        <w:rPr>
          <w:rFonts w:ascii="Times New Roman" w:hAnsi="Times New Roman"/>
          <w:b/>
          <w:i/>
          <w:sz w:val="28"/>
          <w:szCs w:val="28"/>
          <w:u w:val="single"/>
        </w:rPr>
      </w:pPr>
    </w:p>
    <w:p w:rsidR="00A9620F" w:rsidRDefault="00A9620F" w:rsidP="00843996">
      <w:pPr>
        <w:pStyle w:val="ae"/>
        <w:jc w:val="center"/>
        <w:rPr>
          <w:rFonts w:ascii="Times New Roman" w:hAnsi="Times New Roman"/>
          <w:b/>
          <w:i/>
          <w:sz w:val="28"/>
          <w:szCs w:val="28"/>
          <w:u w:val="single"/>
        </w:rPr>
      </w:pPr>
    </w:p>
    <w:p w:rsidR="00EE5DF5" w:rsidRDefault="00EE5DF5" w:rsidP="00A9620F">
      <w:pPr>
        <w:pStyle w:val="ae"/>
        <w:jc w:val="center"/>
        <w:rPr>
          <w:rFonts w:ascii="Times New Roman" w:hAnsi="Times New Roman"/>
          <w:b/>
          <w:i/>
          <w:sz w:val="28"/>
          <w:szCs w:val="28"/>
          <w:u w:val="single"/>
        </w:rPr>
      </w:pPr>
    </w:p>
    <w:p w:rsidR="00EE5DF5" w:rsidRDefault="00EE5DF5" w:rsidP="00A9620F">
      <w:pPr>
        <w:pStyle w:val="ae"/>
        <w:jc w:val="center"/>
        <w:rPr>
          <w:rFonts w:ascii="Times New Roman" w:hAnsi="Times New Roman"/>
          <w:b/>
          <w:i/>
          <w:sz w:val="28"/>
          <w:szCs w:val="28"/>
          <w:u w:val="single"/>
        </w:rPr>
      </w:pPr>
    </w:p>
    <w:p w:rsidR="00843996" w:rsidRPr="00632ABB" w:rsidRDefault="00A9620F" w:rsidP="00A9620F">
      <w:pPr>
        <w:pStyle w:val="ae"/>
        <w:jc w:val="center"/>
        <w:rPr>
          <w:rFonts w:ascii="Times New Roman" w:hAnsi="Times New Roman"/>
          <w:b/>
          <w:i/>
          <w:sz w:val="28"/>
          <w:szCs w:val="28"/>
          <w:u w:val="single"/>
        </w:rPr>
      </w:pPr>
      <w:r>
        <w:rPr>
          <w:rFonts w:ascii="Times New Roman" w:hAnsi="Times New Roman"/>
          <w:b/>
          <w:i/>
          <w:sz w:val="28"/>
          <w:szCs w:val="28"/>
          <w:u w:val="single"/>
        </w:rPr>
        <w:t>Η</w:t>
      </w:r>
      <w:r w:rsidR="00EE5DF5">
        <w:rPr>
          <w:rFonts w:ascii="Times New Roman" w:hAnsi="Times New Roman"/>
          <w:b/>
          <w:i/>
          <w:sz w:val="28"/>
          <w:szCs w:val="28"/>
          <w:u w:val="single"/>
        </w:rPr>
        <w:t xml:space="preserve"> </w:t>
      </w:r>
      <w:r w:rsidR="00843996" w:rsidRPr="00A459C6">
        <w:rPr>
          <w:rFonts w:ascii="Times New Roman" w:hAnsi="Times New Roman"/>
          <w:b/>
          <w:i/>
          <w:sz w:val="28"/>
          <w:szCs w:val="28"/>
          <w:u w:val="single"/>
        </w:rPr>
        <w:t>κίνηση των θερινών εκπτώσεων στις συμβεβλημένες εμπορικές επιχειρήσεις των ΑΚΕ σε Πειραιά – Θεσσαλονίκη – Πάτρα  – Αλεξανδρούπολη</w:t>
      </w:r>
    </w:p>
    <w:p w:rsidR="00843996" w:rsidRPr="00F25316" w:rsidRDefault="00843996" w:rsidP="00843996">
      <w:pPr>
        <w:spacing w:after="0"/>
        <w:rPr>
          <w:rFonts w:ascii="Times New Roman" w:hAnsi="Times New Roman" w:cs="Times New Roman"/>
          <w:b/>
          <w:sz w:val="26"/>
          <w:szCs w:val="26"/>
        </w:rPr>
      </w:pPr>
    </w:p>
    <w:p w:rsidR="00843996" w:rsidRPr="00B050CA" w:rsidRDefault="000E3F01" w:rsidP="00843996">
      <w:pPr>
        <w:jc w:val="both"/>
        <w:rPr>
          <w:rFonts w:ascii="Times New Roman" w:hAnsi="Times New Roman"/>
          <w:sz w:val="24"/>
          <w:szCs w:val="24"/>
        </w:rPr>
      </w:pPr>
      <w:r>
        <w:rPr>
          <w:rFonts w:ascii="Times New Roman" w:hAnsi="Times New Roman"/>
          <w:sz w:val="24"/>
          <w:szCs w:val="24"/>
        </w:rPr>
        <w:t>Για τρίτη</w:t>
      </w:r>
      <w:r w:rsidR="00843996" w:rsidRPr="009A09E8">
        <w:rPr>
          <w:rFonts w:ascii="Times New Roman" w:hAnsi="Times New Roman"/>
          <w:sz w:val="24"/>
          <w:szCs w:val="24"/>
        </w:rPr>
        <w:t xml:space="preserve"> φορά εξετάζ</w:t>
      </w:r>
      <w:r w:rsidR="00464397">
        <w:rPr>
          <w:rFonts w:ascii="Times New Roman" w:hAnsi="Times New Roman"/>
          <w:sz w:val="24"/>
          <w:szCs w:val="24"/>
        </w:rPr>
        <w:t xml:space="preserve">εται </w:t>
      </w:r>
      <w:r w:rsidR="00843996" w:rsidRPr="009A09E8">
        <w:rPr>
          <w:rFonts w:ascii="Times New Roman" w:hAnsi="Times New Roman"/>
          <w:sz w:val="24"/>
          <w:szCs w:val="24"/>
        </w:rPr>
        <w:t xml:space="preserve">ξεχωριστά </w:t>
      </w:r>
      <w:r w:rsidR="00464397">
        <w:rPr>
          <w:rFonts w:ascii="Times New Roman" w:hAnsi="Times New Roman"/>
          <w:sz w:val="24"/>
          <w:szCs w:val="24"/>
        </w:rPr>
        <w:t>η</w:t>
      </w:r>
      <w:r w:rsidR="00843996" w:rsidRPr="009A09E8">
        <w:rPr>
          <w:rFonts w:ascii="Times New Roman" w:hAnsi="Times New Roman"/>
          <w:sz w:val="24"/>
          <w:szCs w:val="24"/>
        </w:rPr>
        <w:t xml:space="preserve"> κίνηση των θερινών εκπτώσεων  στις συμβεβλημένες εμπορικές  επιχειρήσεις του </w:t>
      </w:r>
      <w:proofErr w:type="spellStart"/>
      <w:r w:rsidR="00843996" w:rsidRPr="009A09E8">
        <w:rPr>
          <w:rFonts w:ascii="Times New Roman" w:hAnsi="Times New Roman"/>
          <w:sz w:val="24"/>
          <w:szCs w:val="24"/>
        </w:rPr>
        <w:t>Open</w:t>
      </w:r>
      <w:proofErr w:type="spellEnd"/>
      <w:r w:rsidR="00843996" w:rsidRPr="009A09E8">
        <w:rPr>
          <w:rFonts w:ascii="Times New Roman" w:hAnsi="Times New Roman"/>
          <w:sz w:val="24"/>
          <w:szCs w:val="24"/>
        </w:rPr>
        <w:t xml:space="preserve"> </w:t>
      </w:r>
      <w:proofErr w:type="spellStart"/>
      <w:r w:rsidR="00843996" w:rsidRPr="009A09E8">
        <w:rPr>
          <w:rFonts w:ascii="Times New Roman" w:hAnsi="Times New Roman"/>
          <w:sz w:val="24"/>
          <w:szCs w:val="24"/>
        </w:rPr>
        <w:t>Mall</w:t>
      </w:r>
      <w:proofErr w:type="spellEnd"/>
      <w:r w:rsidR="00843996" w:rsidRPr="009A09E8">
        <w:rPr>
          <w:rFonts w:ascii="Times New Roman" w:hAnsi="Times New Roman"/>
          <w:sz w:val="24"/>
          <w:szCs w:val="24"/>
        </w:rPr>
        <w:t xml:space="preserve"> του Πειραιά, της Θεσσαλονίκης, της Πάτρας και της Αλεξανδρούπολης. </w:t>
      </w:r>
      <w:r w:rsidR="00843996" w:rsidRPr="009978C3">
        <w:rPr>
          <w:rFonts w:ascii="Times New Roman" w:hAnsi="Times New Roman"/>
          <w:sz w:val="24"/>
          <w:szCs w:val="24"/>
        </w:rPr>
        <w:t xml:space="preserve"> </w:t>
      </w:r>
      <w:r w:rsidR="00843996" w:rsidRPr="009A09E8">
        <w:rPr>
          <w:rFonts w:ascii="Times New Roman" w:hAnsi="Times New Roman"/>
          <w:sz w:val="24"/>
          <w:szCs w:val="24"/>
        </w:rPr>
        <w:t xml:space="preserve">Η έρευνα αφορά τις εμπορικές επιχειρήσεις που συμμετέχουν στη δράση </w:t>
      </w:r>
      <w:proofErr w:type="spellStart"/>
      <w:r w:rsidR="00843996" w:rsidRPr="009A09E8">
        <w:rPr>
          <w:rFonts w:ascii="Times New Roman" w:hAnsi="Times New Roman"/>
          <w:sz w:val="24"/>
          <w:szCs w:val="24"/>
        </w:rPr>
        <w:t>Open</w:t>
      </w:r>
      <w:proofErr w:type="spellEnd"/>
      <w:r w:rsidR="00843996" w:rsidRPr="009A09E8">
        <w:rPr>
          <w:rFonts w:ascii="Times New Roman" w:hAnsi="Times New Roman"/>
          <w:sz w:val="24"/>
          <w:szCs w:val="24"/>
        </w:rPr>
        <w:t xml:space="preserve"> </w:t>
      </w:r>
      <w:proofErr w:type="spellStart"/>
      <w:r w:rsidR="00843996" w:rsidRPr="009A09E8">
        <w:rPr>
          <w:rFonts w:ascii="Times New Roman" w:hAnsi="Times New Roman"/>
          <w:sz w:val="24"/>
          <w:szCs w:val="24"/>
        </w:rPr>
        <w:t>Mall</w:t>
      </w:r>
      <w:proofErr w:type="spellEnd"/>
      <w:r w:rsidR="00843996" w:rsidRPr="009A09E8">
        <w:rPr>
          <w:rFonts w:ascii="Times New Roman" w:hAnsi="Times New Roman"/>
          <w:sz w:val="24"/>
          <w:szCs w:val="24"/>
        </w:rPr>
        <w:t>, με κύρια δραστηριότητα το λιανικό εμπόριο και συγκεκριμένα, όπου διεξάγονται εκπτώσεις</w:t>
      </w:r>
      <w:r w:rsidR="00464397">
        <w:rPr>
          <w:rFonts w:ascii="Times New Roman" w:hAnsi="Times New Roman"/>
          <w:sz w:val="24"/>
          <w:szCs w:val="24"/>
        </w:rPr>
        <w:t>, όπως τα είδη ένδυσης-υπόδησης</w:t>
      </w:r>
      <w:bookmarkStart w:id="0" w:name="_GoBack"/>
      <w:bookmarkEnd w:id="0"/>
      <w:r w:rsidR="00843996" w:rsidRPr="009A09E8">
        <w:rPr>
          <w:rFonts w:ascii="Times New Roman" w:hAnsi="Times New Roman"/>
          <w:sz w:val="24"/>
          <w:szCs w:val="24"/>
        </w:rPr>
        <w:t xml:space="preserve">, τα είδη οπτικών, το λιανικό εμπόριο κοσμημάτων, και το άλλο λιανικό εξειδικευμένο εμπόριο. </w:t>
      </w:r>
      <w:r w:rsidR="00843996">
        <w:rPr>
          <w:rFonts w:ascii="Times New Roman" w:hAnsi="Times New Roman"/>
          <w:sz w:val="24"/>
          <w:szCs w:val="24"/>
        </w:rPr>
        <w:t xml:space="preserve">Τα αποτελέσματα των εκπτώσεων για τις επιχειρήσεις των ΑΚΕ παρουσιάζονται συνολικά και δεν λαμβάνουν υπόψη τις ιδιαίτερες περιπτώσεις κάθε τοπικής αγοράς. </w:t>
      </w:r>
    </w:p>
    <w:p w:rsidR="00A459C6" w:rsidRPr="00BE6DB9" w:rsidRDefault="00843996" w:rsidP="00BE6DB9">
      <w:pPr>
        <w:spacing w:before="120" w:after="0"/>
        <w:jc w:val="both"/>
        <w:rPr>
          <w:rFonts w:ascii="Times New Roman" w:hAnsi="Times New Roman" w:cs="Times New Roman"/>
          <w:sz w:val="24"/>
          <w:szCs w:val="24"/>
        </w:rPr>
      </w:pPr>
      <w:r w:rsidRPr="00BE6DB9">
        <w:rPr>
          <w:rFonts w:ascii="Times New Roman" w:hAnsi="Times New Roman" w:cs="Times New Roman"/>
          <w:sz w:val="24"/>
          <w:szCs w:val="24"/>
        </w:rPr>
        <w:t xml:space="preserve">Είναι ιδιαίτερα ενδιαφέρον ότι για τις επιχειρήσεις των ΑΚΕ οι πωλήσεις των φετινών θερινών εκπτώσεων σε σύγκριση με το προηγούμενο έτος κυμάνθηκαν στα ίδια επίπεδα σε σχέση με τις επιχειρήσεις του γενικού πληθυσμού. </w:t>
      </w:r>
      <w:r w:rsidR="00A459C6" w:rsidRPr="00BE6DB9">
        <w:rPr>
          <w:rFonts w:ascii="Times New Roman" w:hAnsi="Times New Roman" w:cs="Times New Roman"/>
          <w:sz w:val="24"/>
          <w:szCs w:val="24"/>
        </w:rPr>
        <w:t xml:space="preserve">Συγκεκριμένα, </w:t>
      </w:r>
      <w:r w:rsidR="00C6756B">
        <w:rPr>
          <w:rFonts w:ascii="Times New Roman" w:hAnsi="Times New Roman" w:cs="Times New Roman"/>
          <w:sz w:val="24"/>
          <w:szCs w:val="24"/>
        </w:rPr>
        <w:t>σ</w:t>
      </w:r>
      <w:r w:rsidR="00A459C6" w:rsidRPr="00BE6DB9">
        <w:rPr>
          <w:rFonts w:ascii="Times New Roman" w:hAnsi="Times New Roman" w:cs="Times New Roman"/>
          <w:sz w:val="24"/>
          <w:szCs w:val="24"/>
        </w:rPr>
        <w:t xml:space="preserve">το </w:t>
      </w:r>
      <w:r w:rsidR="00C6756B">
        <w:rPr>
          <w:rFonts w:ascii="Times New Roman" w:hAnsi="Times New Roman" w:cs="Times New Roman"/>
          <w:sz w:val="24"/>
          <w:szCs w:val="24"/>
        </w:rPr>
        <w:t xml:space="preserve">55% των επιχειρήσεων </w:t>
      </w:r>
      <w:r w:rsidR="00A459C6" w:rsidRPr="00BE6DB9">
        <w:rPr>
          <w:rFonts w:ascii="Times New Roman" w:hAnsi="Times New Roman" w:cs="Times New Roman"/>
          <w:sz w:val="24"/>
          <w:szCs w:val="24"/>
        </w:rPr>
        <w:t xml:space="preserve"> </w:t>
      </w:r>
      <w:r w:rsidR="00C6756B">
        <w:rPr>
          <w:rFonts w:ascii="Times New Roman" w:hAnsi="Times New Roman" w:cs="Times New Roman"/>
          <w:sz w:val="24"/>
          <w:szCs w:val="24"/>
        </w:rPr>
        <w:t xml:space="preserve">μειώθηκαν οι πωλήσεις </w:t>
      </w:r>
      <w:r w:rsidR="00A459C6" w:rsidRPr="00BE6DB9">
        <w:rPr>
          <w:rFonts w:ascii="Times New Roman" w:hAnsi="Times New Roman" w:cs="Times New Roman"/>
          <w:sz w:val="24"/>
          <w:szCs w:val="24"/>
        </w:rPr>
        <w:t>σε σύγκριση με τις πωλήσεις των θερινών εκπτώσεων του προηγούμενου έτους, ενώ σε ένα σημαντικό ποσοστό της τάξης του 34</w:t>
      </w:r>
      <w:r w:rsidR="00C6756B">
        <w:rPr>
          <w:rFonts w:ascii="Times New Roman" w:hAnsi="Times New Roman" w:cs="Times New Roman"/>
          <w:sz w:val="24"/>
          <w:szCs w:val="24"/>
        </w:rPr>
        <w:t>,5</w:t>
      </w:r>
      <w:r w:rsidR="00A459C6" w:rsidRPr="00BE6DB9">
        <w:rPr>
          <w:rFonts w:ascii="Times New Roman" w:hAnsi="Times New Roman" w:cs="Times New Roman"/>
          <w:sz w:val="24"/>
          <w:szCs w:val="24"/>
        </w:rPr>
        <w:t xml:space="preserve">% οι πωλήσεις κυμάνθηκαν στα ίδια επίπεδα. </w:t>
      </w:r>
    </w:p>
    <w:p w:rsidR="00364DC5" w:rsidRPr="00BE6DB9" w:rsidRDefault="00364DC5" w:rsidP="00BE6DB9">
      <w:pPr>
        <w:pStyle w:val="p1"/>
        <w:spacing w:line="276" w:lineRule="auto"/>
        <w:jc w:val="both"/>
        <w:rPr>
          <w:rFonts w:ascii="Times New Roman" w:hAnsi="Times New Roman"/>
          <w:i/>
          <w:color w:val="auto"/>
          <w:sz w:val="25"/>
          <w:szCs w:val="25"/>
        </w:rPr>
      </w:pPr>
    </w:p>
    <w:tbl>
      <w:tblPr>
        <w:tblW w:w="8918" w:type="dxa"/>
        <w:tblInd w:w="93" w:type="dxa"/>
        <w:tblLook w:val="04A0" w:firstRow="1" w:lastRow="0" w:firstColumn="1" w:lastColumn="0" w:noHBand="0" w:noVBand="1"/>
      </w:tblPr>
      <w:tblGrid>
        <w:gridCol w:w="3968"/>
        <w:gridCol w:w="4950"/>
      </w:tblGrid>
      <w:tr w:rsidR="00764F00" w:rsidRPr="000E3F01" w:rsidTr="00294BD8">
        <w:trPr>
          <w:trHeight w:val="20"/>
        </w:trPr>
        <w:tc>
          <w:tcPr>
            <w:tcW w:w="8918" w:type="dxa"/>
            <w:gridSpan w:val="2"/>
            <w:tcBorders>
              <w:top w:val="single" w:sz="8" w:space="0" w:color="auto"/>
              <w:left w:val="single" w:sz="8" w:space="0" w:color="auto"/>
              <w:bottom w:val="single" w:sz="8" w:space="0" w:color="auto"/>
              <w:right w:val="single" w:sz="8" w:space="0" w:color="000000"/>
            </w:tcBorders>
            <w:shd w:val="clear" w:color="000000" w:fill="BFBFBF" w:themeFill="background1" w:themeFillShade="BF"/>
            <w:vAlign w:val="bottom"/>
            <w:hideMark/>
          </w:tcPr>
          <w:p w:rsidR="00764F00" w:rsidRPr="009063BD" w:rsidRDefault="00764F00" w:rsidP="009063BD">
            <w:pPr>
              <w:spacing w:after="0" w:line="240" w:lineRule="auto"/>
              <w:jc w:val="center"/>
              <w:rPr>
                <w:rFonts w:ascii="Times New Roman" w:eastAsia="Times New Roman" w:hAnsi="Times New Roman" w:cs="Times New Roman"/>
                <w:b/>
                <w:bCs/>
                <w:color w:val="000000"/>
                <w:sz w:val="26"/>
                <w:szCs w:val="26"/>
                <w:lang w:eastAsia="el-GR"/>
              </w:rPr>
            </w:pPr>
            <w:r w:rsidRPr="009063BD">
              <w:rPr>
                <w:rFonts w:ascii="Times New Roman" w:eastAsia="Times New Roman" w:hAnsi="Times New Roman" w:cs="Times New Roman"/>
                <w:b/>
                <w:bCs/>
                <w:color w:val="000000"/>
                <w:sz w:val="26"/>
                <w:szCs w:val="26"/>
                <w:lang w:eastAsia="el-GR"/>
              </w:rPr>
              <w:t>Πίνακας</w:t>
            </w:r>
            <w:r w:rsidR="009063BD" w:rsidRPr="009063BD">
              <w:rPr>
                <w:rFonts w:ascii="Times New Roman" w:eastAsia="Times New Roman" w:hAnsi="Times New Roman" w:cs="Times New Roman"/>
                <w:b/>
                <w:bCs/>
                <w:color w:val="000000"/>
                <w:sz w:val="26"/>
                <w:szCs w:val="26"/>
                <w:lang w:eastAsia="el-GR"/>
              </w:rPr>
              <w:t xml:space="preserve"> 1</w:t>
            </w:r>
            <w:r w:rsidRPr="009063BD">
              <w:rPr>
                <w:rFonts w:ascii="Times New Roman" w:eastAsia="Times New Roman" w:hAnsi="Times New Roman" w:cs="Times New Roman"/>
                <w:b/>
                <w:bCs/>
                <w:color w:val="000000"/>
                <w:sz w:val="26"/>
                <w:szCs w:val="26"/>
                <w:lang w:eastAsia="el-GR"/>
              </w:rPr>
              <w:t>:</w:t>
            </w:r>
            <w:r w:rsidRPr="009063BD">
              <w:rPr>
                <w:rFonts w:ascii="Times New Roman" w:eastAsia="Times New Roman" w:hAnsi="Times New Roman" w:cs="Times New Roman"/>
                <w:b/>
                <w:bCs/>
                <w:color w:val="000000"/>
                <w:lang w:eastAsia="el-GR"/>
              </w:rPr>
              <w:t xml:space="preserve"> Εκτιμήσεις </w:t>
            </w:r>
            <w:r w:rsidR="009063BD" w:rsidRPr="009063BD">
              <w:rPr>
                <w:rFonts w:ascii="Times New Roman" w:eastAsia="Times New Roman" w:hAnsi="Times New Roman" w:cs="Times New Roman"/>
                <w:b/>
                <w:bCs/>
                <w:color w:val="000000"/>
                <w:lang w:eastAsia="el-GR"/>
              </w:rPr>
              <w:t xml:space="preserve">67 </w:t>
            </w:r>
            <w:r w:rsidRPr="009063BD">
              <w:rPr>
                <w:rFonts w:ascii="Times New Roman" w:eastAsia="Times New Roman" w:hAnsi="Times New Roman" w:cs="Times New Roman"/>
                <w:b/>
                <w:bCs/>
                <w:color w:val="000000"/>
                <w:lang w:eastAsia="el-GR"/>
              </w:rPr>
              <w:t xml:space="preserve"> Εμπορικών Συλλόγων για την εξέλιξη του κύκλου εργασιών κατά τη διάρκεια των Θερινών Εκπτώσεων </w:t>
            </w:r>
            <w:r w:rsidR="000E3F01" w:rsidRPr="009063BD">
              <w:rPr>
                <w:rFonts w:ascii="Times New Roman" w:eastAsia="Times New Roman" w:hAnsi="Times New Roman" w:cs="Times New Roman"/>
                <w:b/>
                <w:bCs/>
                <w:color w:val="000000"/>
                <w:lang w:eastAsia="el-GR"/>
              </w:rPr>
              <w:t>2018</w:t>
            </w:r>
          </w:p>
        </w:tc>
      </w:tr>
      <w:tr w:rsidR="00764F00"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D9D9D9"/>
            <w:vAlign w:val="center"/>
            <w:hideMark/>
          </w:tcPr>
          <w:p w:rsidR="00764F00" w:rsidRPr="000E3F01" w:rsidRDefault="00764F00" w:rsidP="00294BD8">
            <w:pPr>
              <w:spacing w:after="0" w:line="240" w:lineRule="auto"/>
              <w:jc w:val="center"/>
              <w:rPr>
                <w:rFonts w:ascii="Times New Roman" w:eastAsia="Times New Roman" w:hAnsi="Times New Roman" w:cs="Times New Roman"/>
                <w:b/>
                <w:bCs/>
                <w:color w:val="000000"/>
                <w:highlight w:val="yellow"/>
                <w:lang w:eastAsia="el-GR"/>
              </w:rPr>
            </w:pPr>
            <w:r w:rsidRPr="009063BD">
              <w:rPr>
                <w:rFonts w:ascii="Times New Roman" w:eastAsia="Times New Roman" w:hAnsi="Times New Roman" w:cs="Times New Roman"/>
                <w:b/>
                <w:bCs/>
                <w:color w:val="000000"/>
                <w:lang w:eastAsia="el-GR"/>
              </w:rPr>
              <w:t>Εμπορικοί Σύλλογοι</w:t>
            </w:r>
          </w:p>
        </w:tc>
        <w:tc>
          <w:tcPr>
            <w:tcW w:w="4950" w:type="dxa"/>
            <w:tcBorders>
              <w:top w:val="nil"/>
              <w:left w:val="nil"/>
              <w:bottom w:val="single" w:sz="8" w:space="0" w:color="auto"/>
              <w:right w:val="single" w:sz="8" w:space="0" w:color="auto"/>
            </w:tcBorders>
            <w:shd w:val="clear" w:color="000000" w:fill="D9D9D9"/>
            <w:vAlign w:val="bottom"/>
            <w:hideMark/>
          </w:tcPr>
          <w:p w:rsidR="00764F00" w:rsidRPr="009063BD" w:rsidRDefault="00764F00" w:rsidP="000E3F01">
            <w:pPr>
              <w:spacing w:after="0" w:line="240" w:lineRule="auto"/>
              <w:jc w:val="center"/>
              <w:rPr>
                <w:rFonts w:ascii="Times New Roman" w:eastAsia="Times New Roman" w:hAnsi="Times New Roman" w:cs="Times New Roman"/>
                <w:b/>
                <w:bCs/>
                <w:color w:val="000000"/>
                <w:lang w:eastAsia="el-GR"/>
              </w:rPr>
            </w:pPr>
            <w:r w:rsidRPr="009063BD">
              <w:rPr>
                <w:rFonts w:ascii="Times New Roman" w:eastAsia="Times New Roman" w:hAnsi="Times New Roman" w:cs="Times New Roman"/>
                <w:b/>
                <w:bCs/>
                <w:color w:val="000000"/>
                <w:lang w:eastAsia="el-GR"/>
              </w:rPr>
              <w:t xml:space="preserve">Μεταβολή (%) τζίρου κατά τη διάρκεια των Θερινών Εκπτώσεων </w:t>
            </w:r>
            <w:r w:rsidR="000E3F01" w:rsidRPr="009063BD">
              <w:rPr>
                <w:rFonts w:ascii="Times New Roman" w:eastAsia="Times New Roman" w:hAnsi="Times New Roman" w:cs="Times New Roman"/>
                <w:b/>
                <w:bCs/>
                <w:color w:val="000000"/>
                <w:lang w:eastAsia="el-GR"/>
              </w:rPr>
              <w:t>2018/2017</w:t>
            </w:r>
          </w:p>
        </w:tc>
      </w:tr>
      <w:tr w:rsidR="009063BD" w:rsidRPr="000E3F01" w:rsidTr="0043576F">
        <w:trPr>
          <w:trHeight w:val="509"/>
        </w:trPr>
        <w:tc>
          <w:tcPr>
            <w:tcW w:w="396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063BD" w:rsidRDefault="009063BD" w:rsidP="009063BD">
            <w:pPr>
              <w:rPr>
                <w:rFonts w:ascii="Calibri" w:hAnsi="Calibri"/>
                <w:color w:val="000000"/>
              </w:rPr>
            </w:pPr>
            <w:r>
              <w:rPr>
                <w:rFonts w:ascii="Calibri" w:hAnsi="Calibri"/>
                <w:color w:val="000000"/>
              </w:rPr>
              <w:t>Αθήνα</w:t>
            </w:r>
          </w:p>
        </w:tc>
        <w:tc>
          <w:tcPr>
            <w:tcW w:w="495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063BD" w:rsidRDefault="009063BD" w:rsidP="009063BD">
            <w:pPr>
              <w:jc w:val="center"/>
              <w:rPr>
                <w:b/>
                <w:bCs/>
                <w:color w:val="FF0000"/>
              </w:rPr>
            </w:pPr>
            <w:r>
              <w:rPr>
                <w:b/>
                <w:bCs/>
                <w:color w:val="FF0000"/>
              </w:rPr>
              <w:t>Πτώση 1-10%</w:t>
            </w:r>
          </w:p>
        </w:tc>
      </w:tr>
      <w:tr w:rsidR="009063BD" w:rsidRPr="000E3F01" w:rsidTr="009063BD">
        <w:trPr>
          <w:trHeight w:val="253"/>
        </w:trPr>
        <w:tc>
          <w:tcPr>
            <w:tcW w:w="3968" w:type="dxa"/>
            <w:vMerge/>
            <w:tcBorders>
              <w:top w:val="nil"/>
              <w:left w:val="single" w:sz="8" w:space="0" w:color="auto"/>
              <w:bottom w:val="single" w:sz="8" w:space="0" w:color="000000"/>
              <w:right w:val="single" w:sz="8" w:space="0" w:color="auto"/>
            </w:tcBorders>
            <w:vAlign w:val="bottom"/>
            <w:hideMark/>
          </w:tcPr>
          <w:p w:rsidR="009063BD" w:rsidRPr="000E3F01" w:rsidRDefault="009063BD" w:rsidP="009978C3">
            <w:pPr>
              <w:spacing w:after="0" w:line="240" w:lineRule="auto"/>
              <w:rPr>
                <w:rFonts w:ascii="Times New Roman" w:eastAsia="Times New Roman" w:hAnsi="Times New Roman" w:cs="Times New Roman"/>
                <w:b/>
                <w:bCs/>
                <w:color w:val="000000"/>
                <w:highlight w:val="yellow"/>
                <w:lang w:eastAsia="el-GR"/>
              </w:rPr>
            </w:pPr>
          </w:p>
        </w:tc>
        <w:tc>
          <w:tcPr>
            <w:tcW w:w="4950" w:type="dxa"/>
            <w:vMerge/>
            <w:tcBorders>
              <w:top w:val="nil"/>
              <w:left w:val="single" w:sz="8" w:space="0" w:color="auto"/>
              <w:bottom w:val="single" w:sz="8" w:space="0" w:color="000000"/>
              <w:right w:val="single" w:sz="8" w:space="0" w:color="auto"/>
            </w:tcBorders>
            <w:vAlign w:val="bottom"/>
            <w:hideMark/>
          </w:tcPr>
          <w:p w:rsidR="009063BD" w:rsidRPr="000E3F01" w:rsidRDefault="009063BD" w:rsidP="009978C3">
            <w:pPr>
              <w:spacing w:after="0" w:line="240" w:lineRule="auto"/>
              <w:rPr>
                <w:rFonts w:ascii="Times New Roman" w:eastAsia="Times New Roman" w:hAnsi="Times New Roman" w:cs="Times New Roman"/>
                <w:b/>
                <w:bCs/>
                <w:color w:val="000000" w:themeColor="text1"/>
                <w:highlight w:val="yellow"/>
                <w:lang w:eastAsia="el-GR"/>
              </w:rPr>
            </w:pP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14"/>
                <w:szCs w:val="14"/>
              </w:rPr>
            </w:pPr>
            <w:r>
              <w:rPr>
                <w:color w:val="000000"/>
              </w:rPr>
              <w:t xml:space="preserve">Θεσσαλονίκη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sz w:val="14"/>
                <w:szCs w:val="14"/>
              </w:rPr>
              <w:t xml:space="preserve"> </w:t>
            </w:r>
            <w:r>
              <w:rPr>
                <w:color w:val="000000"/>
              </w:rPr>
              <w:t>Πειραιάς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Περιστέρι</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Ν. Σμύρνη</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Νίκαια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21-30%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Χαλάνδρι</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Κηφισιά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Μαρούσι</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Ίλιον</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lastRenderedPageBreak/>
              <w:t>Κερατσίνι</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Καλλιθέα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Π. Φάληρο</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Πάτρα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Λάρισα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Ιωάννινα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43576F">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Καβάλα</w:t>
            </w:r>
          </w:p>
        </w:tc>
        <w:tc>
          <w:tcPr>
            <w:tcW w:w="4950" w:type="dxa"/>
            <w:tcBorders>
              <w:top w:val="single" w:sz="8" w:space="0" w:color="auto"/>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Τρίκαλα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Άρτα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Μεγαλύτερη από 41%</w:t>
            </w:r>
          </w:p>
        </w:tc>
      </w:tr>
      <w:tr w:rsidR="009063BD" w:rsidRPr="000E3F01" w:rsidTr="009063BD">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Αλεξανδρούπολη</w:t>
            </w:r>
          </w:p>
        </w:tc>
        <w:tc>
          <w:tcPr>
            <w:tcW w:w="4950" w:type="dxa"/>
            <w:tcBorders>
              <w:top w:val="single" w:sz="8" w:space="0" w:color="auto"/>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Λαμία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Σύρος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Λιβαδειά</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Θήβα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21-30%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Γιαννιτσά</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Έδεσσα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Καστοριά</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Νάουσα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Βέροια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Φλώρινα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Χαλκίδα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Πύργος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Καρδίτσα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21-30%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Φάρσαλα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Βόλος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Σέρρες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00B050"/>
              </w:rPr>
            </w:pPr>
            <w:r>
              <w:rPr>
                <w:b/>
                <w:bCs/>
                <w:color w:val="00B050"/>
              </w:rPr>
              <w:t>Άνοδος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Κιλκίς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Σπάρτη</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lastRenderedPageBreak/>
              <w:t>Τρίπολη</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Καλαμάτα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00B050"/>
              </w:rPr>
            </w:pPr>
            <w:r>
              <w:rPr>
                <w:b/>
                <w:bCs/>
                <w:color w:val="00B050"/>
              </w:rPr>
              <w:t>Άνοδος 1-10%</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Κατερίνη</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Ρέθυμνο</w:t>
            </w:r>
          </w:p>
        </w:tc>
        <w:tc>
          <w:tcPr>
            <w:tcW w:w="4950" w:type="dxa"/>
            <w:tcBorders>
              <w:top w:val="single" w:sz="8" w:space="0" w:color="auto"/>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Χανιά</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Κέρκυρα</w:t>
            </w:r>
          </w:p>
        </w:tc>
        <w:tc>
          <w:tcPr>
            <w:tcW w:w="4950" w:type="dxa"/>
            <w:tcBorders>
              <w:top w:val="single" w:sz="8" w:space="0" w:color="auto"/>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Κόρινθος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Κυπαρισσία</w:t>
            </w:r>
          </w:p>
        </w:tc>
        <w:tc>
          <w:tcPr>
            <w:tcW w:w="4950" w:type="dxa"/>
            <w:tcBorders>
              <w:top w:val="single" w:sz="8" w:space="0" w:color="auto"/>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Άργος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Κοζάνη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Γρεβενά</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Αλεξάνδρεια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Ελασσόνα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21-30%</w:t>
            </w:r>
          </w:p>
        </w:tc>
      </w:tr>
      <w:tr w:rsidR="009063BD" w:rsidRPr="000E3F01" w:rsidTr="0043576F">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Κως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Ζάκυνθος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Ναύπλιο</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Κιάτο</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Νάξος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Πολύγυρος- Χαλκιδική</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Ιεράπετρα</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Αγ. Νικόλαος  (Λασιθίου)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Κεφαλονιά &amp; Ιθάκη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00B050"/>
              </w:rPr>
            </w:pPr>
            <w:r>
              <w:rPr>
                <w:b/>
                <w:bCs/>
                <w:color w:val="00B050"/>
              </w:rPr>
              <w:t>Άνοδος 11-20%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 xml:space="preserve">Λήμνος </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Δράμας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Κομοτηνής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Λευκάδας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Ηγουμενίτσας</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538ED5"/>
              </w:rPr>
            </w:pPr>
            <w:r>
              <w:rPr>
                <w:b/>
                <w:bCs/>
                <w:color w:val="538ED5"/>
              </w:rPr>
              <w:t>ΣΤΑ ΙΔΙΑ ΕΠΙΠΕΔΑ</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t>Ρόδου</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1-10%</w:t>
            </w:r>
          </w:p>
        </w:tc>
      </w:tr>
      <w:tr w:rsidR="009063BD" w:rsidRPr="000E3F01" w:rsidTr="009063BD">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9063BD" w:rsidRDefault="009063BD">
            <w:pPr>
              <w:rPr>
                <w:color w:val="000000"/>
                <w:sz w:val="24"/>
                <w:szCs w:val="24"/>
              </w:rPr>
            </w:pPr>
            <w:r>
              <w:rPr>
                <w:color w:val="000000"/>
              </w:rPr>
              <w:lastRenderedPageBreak/>
              <w:t>Ηρακλείου</w:t>
            </w:r>
          </w:p>
        </w:tc>
        <w:tc>
          <w:tcPr>
            <w:tcW w:w="4950" w:type="dxa"/>
            <w:tcBorders>
              <w:top w:val="nil"/>
              <w:left w:val="nil"/>
              <w:bottom w:val="single" w:sz="8" w:space="0" w:color="auto"/>
              <w:right w:val="single" w:sz="8" w:space="0" w:color="auto"/>
            </w:tcBorders>
            <w:shd w:val="clear" w:color="000000" w:fill="FFFFFF"/>
            <w:vAlign w:val="bottom"/>
            <w:hideMark/>
          </w:tcPr>
          <w:p w:rsidR="009063BD" w:rsidRDefault="009063BD">
            <w:pPr>
              <w:jc w:val="center"/>
              <w:rPr>
                <w:b/>
                <w:bCs/>
                <w:color w:val="FF0000"/>
              </w:rPr>
            </w:pPr>
            <w:r>
              <w:rPr>
                <w:b/>
                <w:bCs/>
                <w:color w:val="FF0000"/>
              </w:rPr>
              <w:t>Πτώση 11-20%</w:t>
            </w:r>
          </w:p>
        </w:tc>
      </w:tr>
      <w:tr w:rsidR="00764F00" w:rsidRPr="00514C06" w:rsidTr="0043576F">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BFBFBF" w:themeFill="background1" w:themeFillShade="BF"/>
            <w:vAlign w:val="bottom"/>
            <w:hideMark/>
          </w:tcPr>
          <w:p w:rsidR="00764F00" w:rsidRPr="000E3F01" w:rsidRDefault="009063BD" w:rsidP="00BE6DB9">
            <w:pPr>
              <w:spacing w:after="0" w:line="240" w:lineRule="auto"/>
              <w:jc w:val="center"/>
              <w:rPr>
                <w:rFonts w:ascii="Calibri" w:eastAsia="Times New Roman" w:hAnsi="Calibri" w:cs="Times New Roman"/>
                <w:b/>
                <w:bCs/>
                <w:color w:val="000000"/>
                <w:highlight w:val="yellow"/>
                <w:lang w:eastAsia="el-GR"/>
              </w:rPr>
            </w:pPr>
            <w:r w:rsidRPr="00EE5DF5">
              <w:rPr>
                <w:rFonts w:ascii="Calibri" w:eastAsia="Times New Roman" w:hAnsi="Calibri" w:cs="Times New Roman"/>
                <w:b/>
                <w:bCs/>
                <w:color w:val="000000"/>
                <w:lang w:eastAsia="el-GR"/>
              </w:rPr>
              <w:t>Μέσος όρος Μείωσης</w:t>
            </w:r>
          </w:p>
        </w:tc>
        <w:tc>
          <w:tcPr>
            <w:tcW w:w="495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764F00" w:rsidRPr="009063BD" w:rsidRDefault="00F705CC" w:rsidP="009063BD">
            <w:pPr>
              <w:pStyle w:val="a6"/>
              <w:numPr>
                <w:ilvl w:val="0"/>
                <w:numId w:val="27"/>
              </w:numPr>
              <w:jc w:val="center"/>
              <w:rPr>
                <w:rFonts w:ascii="Times New Roman" w:eastAsia="Times New Roman" w:hAnsi="Times New Roman"/>
                <w:b/>
                <w:bCs/>
                <w:color w:val="000000"/>
                <w:lang w:eastAsia="el-GR"/>
              </w:rPr>
            </w:pPr>
            <w:r>
              <w:rPr>
                <w:b/>
                <w:bCs/>
                <w:color w:val="FF0000"/>
              </w:rPr>
              <w:t>1 έως - 10</w:t>
            </w:r>
            <w:r w:rsidR="009063BD" w:rsidRPr="009063BD">
              <w:rPr>
                <w:b/>
                <w:bCs/>
                <w:color w:val="FF0000"/>
              </w:rPr>
              <w:t>%</w:t>
            </w:r>
          </w:p>
        </w:tc>
      </w:tr>
    </w:tbl>
    <w:p w:rsidR="000E3F01" w:rsidRDefault="000E3F01" w:rsidP="00CF1E5D">
      <w:pPr>
        <w:jc w:val="both"/>
      </w:pPr>
    </w:p>
    <w:tbl>
      <w:tblPr>
        <w:tblpPr w:leftFromText="180" w:rightFromText="180" w:vertAnchor="text" w:tblpX="66" w:tblpY="29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0E3F01" w:rsidRPr="00A9620F" w:rsidTr="000E3F01">
        <w:trPr>
          <w:trHeight w:val="1266"/>
        </w:trPr>
        <w:tc>
          <w:tcPr>
            <w:tcW w:w="8613" w:type="dxa"/>
          </w:tcPr>
          <w:p w:rsidR="000E3F01" w:rsidRPr="00A9620F" w:rsidRDefault="000E3F01" w:rsidP="000E3F01">
            <w:pPr>
              <w:pStyle w:val="ae"/>
              <w:spacing w:line="276" w:lineRule="auto"/>
              <w:jc w:val="both"/>
              <w:rPr>
                <w:rFonts w:ascii="Times New Roman" w:hAnsi="Times New Roman"/>
                <w:b/>
                <w:sz w:val="20"/>
                <w:szCs w:val="20"/>
                <w:u w:val="single"/>
              </w:rPr>
            </w:pPr>
            <w:r w:rsidRPr="00A9620F">
              <w:rPr>
                <w:rFonts w:ascii="Times New Roman" w:hAnsi="Times New Roman"/>
                <w:b/>
                <w:sz w:val="20"/>
                <w:szCs w:val="20"/>
                <w:u w:val="single"/>
              </w:rPr>
              <w:t>Μεθοδολογία</w:t>
            </w:r>
          </w:p>
          <w:p w:rsidR="000E3F01" w:rsidRPr="00A9620F" w:rsidRDefault="000E3F01" w:rsidP="000E3F01">
            <w:pPr>
              <w:pStyle w:val="ae"/>
              <w:spacing w:line="276" w:lineRule="auto"/>
              <w:jc w:val="both"/>
              <w:rPr>
                <w:rFonts w:ascii="Times New Roman" w:hAnsi="Times New Roman"/>
                <w:sz w:val="20"/>
                <w:szCs w:val="20"/>
              </w:rPr>
            </w:pPr>
          </w:p>
          <w:p w:rsidR="000E3F01" w:rsidRPr="00A9620F" w:rsidRDefault="000E3F01" w:rsidP="000E3F01">
            <w:pPr>
              <w:pStyle w:val="ae"/>
              <w:spacing w:line="276" w:lineRule="auto"/>
              <w:jc w:val="both"/>
              <w:rPr>
                <w:rFonts w:ascii="Times New Roman" w:hAnsi="Times New Roman"/>
                <w:sz w:val="20"/>
                <w:szCs w:val="20"/>
              </w:rPr>
            </w:pPr>
            <w:r w:rsidRPr="00A9620F">
              <w:rPr>
                <w:rFonts w:ascii="Times New Roman" w:hAnsi="Times New Roman"/>
                <w:sz w:val="20"/>
                <w:szCs w:val="20"/>
              </w:rPr>
              <w:t xml:space="preserve">Η τηλεφωνική έρευνα διενεργήθηκε με τη χρήση δομημένου ερωτηματολογίου σε τυχαίο δείγμα 250 εμπορικών επιχειρήσεων σε παραδοσιακές εμπορικές αγορές αστικών κέντρων της χώρας </w:t>
            </w:r>
            <w:proofErr w:type="spellStart"/>
            <w:r w:rsidRPr="00A9620F">
              <w:rPr>
                <w:rFonts w:ascii="Times New Roman" w:hAnsi="Times New Roman"/>
                <w:sz w:val="20"/>
                <w:szCs w:val="20"/>
              </w:rPr>
              <w:t>στρωματοποιημένο</w:t>
            </w:r>
            <w:proofErr w:type="spellEnd"/>
            <w:r w:rsidRPr="00A9620F">
              <w:rPr>
                <w:rFonts w:ascii="Times New Roman" w:hAnsi="Times New Roman"/>
                <w:sz w:val="20"/>
                <w:szCs w:val="20"/>
              </w:rPr>
              <w:t xml:space="preserve"> ανά κλάδο δραστηριότητας και μεγάλη γεωγραφική περιοχή. Οι κλάδοι που συμπεριλήφθησαν στον ερευνητικό σχεδιασμό είναι κλάδοι που πραγματοποιούν εκπτώσεις. </w:t>
            </w:r>
          </w:p>
        </w:tc>
      </w:tr>
    </w:tbl>
    <w:p w:rsidR="000E3F01" w:rsidRPr="00A9620F" w:rsidRDefault="000E3F01" w:rsidP="00CF1E5D">
      <w:pPr>
        <w:jc w:val="both"/>
        <w:rPr>
          <w:sz w:val="20"/>
          <w:szCs w:val="20"/>
        </w:rPr>
      </w:pPr>
    </w:p>
    <w:sectPr w:rsidR="000E3F01" w:rsidRPr="00A9620F" w:rsidSect="00C75ED4">
      <w:footerReference w:type="default" r:id="rId17"/>
      <w:pgSz w:w="11906" w:h="16838"/>
      <w:pgMar w:top="709" w:right="17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31B" w:rsidRDefault="00F1631B" w:rsidP="003355BE">
      <w:pPr>
        <w:spacing w:after="0" w:line="240" w:lineRule="auto"/>
      </w:pPr>
      <w:r>
        <w:separator/>
      </w:r>
    </w:p>
  </w:endnote>
  <w:endnote w:type="continuationSeparator" w:id="0">
    <w:p w:rsidR="00F1631B" w:rsidRDefault="00F1631B" w:rsidP="0033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F UI Display">
    <w:altName w:val="Times New Roman"/>
    <w:panose1 w:val="00000000000000000000"/>
    <w:charset w:val="00"/>
    <w:family w:val="roman"/>
    <w:notTrueType/>
    <w:pitch w:val="default"/>
  </w:font>
  <w:font w:name=".SFUI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45469"/>
      <w:docPartObj>
        <w:docPartGallery w:val="Page Numbers (Bottom of Page)"/>
        <w:docPartUnique/>
      </w:docPartObj>
    </w:sdtPr>
    <w:sdtEndPr/>
    <w:sdtContent>
      <w:p w:rsidR="00E04C4B" w:rsidRDefault="00F1631B">
        <w:pPr>
          <w:pStyle w:val="a5"/>
          <w:jc w:val="right"/>
        </w:pPr>
        <w:r>
          <w:rPr>
            <w:noProof/>
          </w:rPr>
          <w:fldChar w:fldCharType="begin"/>
        </w:r>
        <w:r>
          <w:rPr>
            <w:noProof/>
          </w:rPr>
          <w:instrText xml:space="preserve"> PAGE   \* MERGEFORMAT </w:instrText>
        </w:r>
        <w:r>
          <w:rPr>
            <w:noProof/>
          </w:rPr>
          <w:fldChar w:fldCharType="separate"/>
        </w:r>
        <w:r w:rsidR="00464397">
          <w:rPr>
            <w:noProof/>
          </w:rPr>
          <w:t>8</w:t>
        </w:r>
        <w:r>
          <w:rPr>
            <w:noProof/>
          </w:rPr>
          <w:fldChar w:fldCharType="end"/>
        </w:r>
      </w:p>
    </w:sdtContent>
  </w:sdt>
  <w:p w:rsidR="00E04C4B" w:rsidRDefault="00E04C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31B" w:rsidRDefault="00F1631B" w:rsidP="003355BE">
      <w:pPr>
        <w:spacing w:after="0" w:line="240" w:lineRule="auto"/>
      </w:pPr>
      <w:r>
        <w:separator/>
      </w:r>
    </w:p>
  </w:footnote>
  <w:footnote w:type="continuationSeparator" w:id="0">
    <w:p w:rsidR="00F1631B" w:rsidRDefault="00F1631B" w:rsidP="00335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60650"/>
    <w:multiLevelType w:val="hybridMultilevel"/>
    <w:tmpl w:val="AAECC1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02541F"/>
    <w:multiLevelType w:val="hybridMultilevel"/>
    <w:tmpl w:val="B93CC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651080"/>
    <w:multiLevelType w:val="hybridMultilevel"/>
    <w:tmpl w:val="79AEAF10"/>
    <w:lvl w:ilvl="0" w:tplc="00000001">
      <w:start w:val="1"/>
      <w:numFmt w:val="bullet"/>
      <w:lvlText w:val=""/>
      <w:lvlJc w:val="left"/>
      <w:pPr>
        <w:ind w:left="720" w:hanging="360"/>
      </w:pPr>
      <w:rPr>
        <w:rFonts w:ascii="Symbol" w:hAnsi="Symbol" w:cs="Symbol"/>
        <w:sz w:val="28"/>
        <w:szCs w:val="28"/>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27727805"/>
    <w:multiLevelType w:val="hybridMultilevel"/>
    <w:tmpl w:val="6408E30C"/>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5" w15:restartNumberingAfterBreak="0">
    <w:nsid w:val="37A9084A"/>
    <w:multiLevelType w:val="hybridMultilevel"/>
    <w:tmpl w:val="690C5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DB19E7"/>
    <w:multiLevelType w:val="hybridMultilevel"/>
    <w:tmpl w:val="EA6AACF4"/>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277DE6"/>
    <w:multiLevelType w:val="hybridMultilevel"/>
    <w:tmpl w:val="6E320A02"/>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93204D"/>
    <w:multiLevelType w:val="hybridMultilevel"/>
    <w:tmpl w:val="082027D0"/>
    <w:lvl w:ilvl="0" w:tplc="7C124560">
      <w:numFmt w:val="bullet"/>
      <w:lvlText w:val="-"/>
      <w:lvlJc w:val="left"/>
      <w:pPr>
        <w:ind w:left="720" w:hanging="360"/>
      </w:pPr>
      <w:rPr>
        <w:rFonts w:ascii="Calibri" w:eastAsiaTheme="minorHAnsi" w:hAnsi="Calibri" w:cstheme="minorBidi"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1778C9"/>
    <w:multiLevelType w:val="hybridMultilevel"/>
    <w:tmpl w:val="0B784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0A7F61"/>
    <w:multiLevelType w:val="hybridMultilevel"/>
    <w:tmpl w:val="F1D047B6"/>
    <w:lvl w:ilvl="0" w:tplc="371EF540">
      <w:start w:val="1"/>
      <w:numFmt w:val="decimal"/>
      <w:lvlText w:val="%1."/>
      <w:lvlJc w:val="left"/>
      <w:pPr>
        <w:tabs>
          <w:tab w:val="num" w:pos="740"/>
        </w:tabs>
        <w:ind w:left="740" w:hanging="38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1" w15:restartNumberingAfterBreak="0">
    <w:nsid w:val="45841608"/>
    <w:multiLevelType w:val="hybridMultilevel"/>
    <w:tmpl w:val="8084EA5C"/>
    <w:lvl w:ilvl="0" w:tplc="42BCB0D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F618B0"/>
    <w:multiLevelType w:val="hybridMultilevel"/>
    <w:tmpl w:val="B1A46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C593A18"/>
    <w:multiLevelType w:val="hybridMultilevel"/>
    <w:tmpl w:val="F296FE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964C78"/>
    <w:multiLevelType w:val="hybridMultilevel"/>
    <w:tmpl w:val="CB5C0406"/>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BB33A5"/>
    <w:multiLevelType w:val="hybridMultilevel"/>
    <w:tmpl w:val="00285EE8"/>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1B54C93"/>
    <w:multiLevelType w:val="hybridMultilevel"/>
    <w:tmpl w:val="CD828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80D2643"/>
    <w:multiLevelType w:val="hybridMultilevel"/>
    <w:tmpl w:val="47DE984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5C2D763B"/>
    <w:multiLevelType w:val="hybridMultilevel"/>
    <w:tmpl w:val="FFE6C850"/>
    <w:lvl w:ilvl="0" w:tplc="04080013">
      <w:start w:val="1"/>
      <w:numFmt w:val="upperRoman"/>
      <w:lvlText w:val="%1."/>
      <w:lvlJc w:val="righ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5C5315DE"/>
    <w:multiLevelType w:val="hybridMultilevel"/>
    <w:tmpl w:val="3A089026"/>
    <w:lvl w:ilvl="0" w:tplc="04090001">
      <w:start w:val="1"/>
      <w:numFmt w:val="bullet"/>
      <w:lvlText w:val=""/>
      <w:lvlJc w:val="left"/>
      <w:pPr>
        <w:ind w:left="1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DCA5E29"/>
    <w:multiLevelType w:val="hybridMultilevel"/>
    <w:tmpl w:val="08E8092A"/>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6C12F1"/>
    <w:multiLevelType w:val="hybridMultilevel"/>
    <w:tmpl w:val="4D342C2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7E526933"/>
    <w:multiLevelType w:val="hybridMultilevel"/>
    <w:tmpl w:val="3E0E140E"/>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E6B17A4"/>
    <w:multiLevelType w:val="hybridMultilevel"/>
    <w:tmpl w:val="CC9E5FA8"/>
    <w:lvl w:ilvl="0" w:tplc="00000001">
      <w:start w:val="1"/>
      <w:numFmt w:val="bullet"/>
      <w:lvlText w:val=""/>
      <w:lvlJc w:val="left"/>
      <w:pPr>
        <w:ind w:left="720" w:hanging="360"/>
      </w:pPr>
      <w:rPr>
        <w:rFonts w:ascii="Symbol" w:hAnsi="Symbol" w:cs="Symbol"/>
        <w:sz w:val="28"/>
        <w:szCs w:val="28"/>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6"/>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18"/>
  </w:num>
  <w:num w:numId="24">
    <w:abstractNumId w:val="13"/>
  </w:num>
  <w:num w:numId="25">
    <w:abstractNumId w:val="9"/>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5CE9"/>
    <w:rsid w:val="00006A75"/>
    <w:rsid w:val="00012D5A"/>
    <w:rsid w:val="00014A56"/>
    <w:rsid w:val="0002389D"/>
    <w:rsid w:val="000310A5"/>
    <w:rsid w:val="00042C30"/>
    <w:rsid w:val="00052138"/>
    <w:rsid w:val="00055B89"/>
    <w:rsid w:val="00060AEF"/>
    <w:rsid w:val="00066F46"/>
    <w:rsid w:val="0007480A"/>
    <w:rsid w:val="00084AF3"/>
    <w:rsid w:val="000A099E"/>
    <w:rsid w:val="000A1414"/>
    <w:rsid w:val="000A2184"/>
    <w:rsid w:val="000B64CE"/>
    <w:rsid w:val="000C05B0"/>
    <w:rsid w:val="000D0B5E"/>
    <w:rsid w:val="000E3F01"/>
    <w:rsid w:val="00103F08"/>
    <w:rsid w:val="00116558"/>
    <w:rsid w:val="001252FD"/>
    <w:rsid w:val="0012713B"/>
    <w:rsid w:val="0013351D"/>
    <w:rsid w:val="00147C1C"/>
    <w:rsid w:val="001566A7"/>
    <w:rsid w:val="0016634E"/>
    <w:rsid w:val="0016708A"/>
    <w:rsid w:val="00171921"/>
    <w:rsid w:val="0017799A"/>
    <w:rsid w:val="001800DB"/>
    <w:rsid w:val="00180FD1"/>
    <w:rsid w:val="001852DF"/>
    <w:rsid w:val="00192158"/>
    <w:rsid w:val="00194683"/>
    <w:rsid w:val="001A1235"/>
    <w:rsid w:val="001A4487"/>
    <w:rsid w:val="001D3663"/>
    <w:rsid w:val="001E69B3"/>
    <w:rsid w:val="001F1252"/>
    <w:rsid w:val="00202F87"/>
    <w:rsid w:val="002069A1"/>
    <w:rsid w:val="002124F2"/>
    <w:rsid w:val="00214255"/>
    <w:rsid w:val="00223067"/>
    <w:rsid w:val="00225CEA"/>
    <w:rsid w:val="00226BE7"/>
    <w:rsid w:val="00234DE0"/>
    <w:rsid w:val="00242D90"/>
    <w:rsid w:val="0025003D"/>
    <w:rsid w:val="00251B6E"/>
    <w:rsid w:val="002546A4"/>
    <w:rsid w:val="002561D7"/>
    <w:rsid w:val="00263C7E"/>
    <w:rsid w:val="00275F27"/>
    <w:rsid w:val="00284E5C"/>
    <w:rsid w:val="00294BD8"/>
    <w:rsid w:val="00294CA7"/>
    <w:rsid w:val="002A28C6"/>
    <w:rsid w:val="002A4488"/>
    <w:rsid w:val="002A484A"/>
    <w:rsid w:val="002A5116"/>
    <w:rsid w:val="002B4907"/>
    <w:rsid w:val="002C47CB"/>
    <w:rsid w:val="002C67FA"/>
    <w:rsid w:val="002D04E4"/>
    <w:rsid w:val="002E3D01"/>
    <w:rsid w:val="002F3649"/>
    <w:rsid w:val="002F4C2E"/>
    <w:rsid w:val="002F73B6"/>
    <w:rsid w:val="002F7FFD"/>
    <w:rsid w:val="00304653"/>
    <w:rsid w:val="00305351"/>
    <w:rsid w:val="00305A16"/>
    <w:rsid w:val="00305F39"/>
    <w:rsid w:val="003153A3"/>
    <w:rsid w:val="00315D1D"/>
    <w:rsid w:val="00326570"/>
    <w:rsid w:val="00332B9B"/>
    <w:rsid w:val="00333957"/>
    <w:rsid w:val="003355BE"/>
    <w:rsid w:val="00337A00"/>
    <w:rsid w:val="00340379"/>
    <w:rsid w:val="0034621C"/>
    <w:rsid w:val="00347B06"/>
    <w:rsid w:val="00353F7E"/>
    <w:rsid w:val="003563E0"/>
    <w:rsid w:val="0035793C"/>
    <w:rsid w:val="00357CB1"/>
    <w:rsid w:val="0036208C"/>
    <w:rsid w:val="00363259"/>
    <w:rsid w:val="00364DC5"/>
    <w:rsid w:val="00372531"/>
    <w:rsid w:val="00391F0B"/>
    <w:rsid w:val="003A422E"/>
    <w:rsid w:val="003A76FD"/>
    <w:rsid w:val="003B1973"/>
    <w:rsid w:val="003B6526"/>
    <w:rsid w:val="003B7942"/>
    <w:rsid w:val="003C0D75"/>
    <w:rsid w:val="003F50E1"/>
    <w:rsid w:val="00401EB4"/>
    <w:rsid w:val="00405DA0"/>
    <w:rsid w:val="00413080"/>
    <w:rsid w:val="004240F1"/>
    <w:rsid w:val="004259B8"/>
    <w:rsid w:val="0043576F"/>
    <w:rsid w:val="0043712D"/>
    <w:rsid w:val="004427EB"/>
    <w:rsid w:val="00451E24"/>
    <w:rsid w:val="004631CC"/>
    <w:rsid w:val="00464397"/>
    <w:rsid w:val="00464454"/>
    <w:rsid w:val="00476E6F"/>
    <w:rsid w:val="00481FA2"/>
    <w:rsid w:val="0049338C"/>
    <w:rsid w:val="004A3235"/>
    <w:rsid w:val="004A75ED"/>
    <w:rsid w:val="004B158C"/>
    <w:rsid w:val="004B1639"/>
    <w:rsid w:val="004B36E4"/>
    <w:rsid w:val="004B4636"/>
    <w:rsid w:val="004C1745"/>
    <w:rsid w:val="004C5792"/>
    <w:rsid w:val="004D0518"/>
    <w:rsid w:val="004D4874"/>
    <w:rsid w:val="004D6B47"/>
    <w:rsid w:val="004E081A"/>
    <w:rsid w:val="004F0261"/>
    <w:rsid w:val="004F4AAB"/>
    <w:rsid w:val="004F56EE"/>
    <w:rsid w:val="00503FA5"/>
    <w:rsid w:val="00513171"/>
    <w:rsid w:val="0051692D"/>
    <w:rsid w:val="00516B4D"/>
    <w:rsid w:val="0052054C"/>
    <w:rsid w:val="00532176"/>
    <w:rsid w:val="005328CB"/>
    <w:rsid w:val="00540468"/>
    <w:rsid w:val="0054348D"/>
    <w:rsid w:val="0054562C"/>
    <w:rsid w:val="005502A1"/>
    <w:rsid w:val="005508CC"/>
    <w:rsid w:val="00552288"/>
    <w:rsid w:val="00571891"/>
    <w:rsid w:val="00573EE5"/>
    <w:rsid w:val="00582926"/>
    <w:rsid w:val="00582E63"/>
    <w:rsid w:val="005855C7"/>
    <w:rsid w:val="00587DD8"/>
    <w:rsid w:val="00591083"/>
    <w:rsid w:val="00592D5C"/>
    <w:rsid w:val="00594899"/>
    <w:rsid w:val="00594A88"/>
    <w:rsid w:val="005A6C79"/>
    <w:rsid w:val="005A7FB4"/>
    <w:rsid w:val="005B0F0E"/>
    <w:rsid w:val="005B1D76"/>
    <w:rsid w:val="005C567A"/>
    <w:rsid w:val="005C7A60"/>
    <w:rsid w:val="005E767F"/>
    <w:rsid w:val="005F0D93"/>
    <w:rsid w:val="005F5867"/>
    <w:rsid w:val="00607FB4"/>
    <w:rsid w:val="00611272"/>
    <w:rsid w:val="00620178"/>
    <w:rsid w:val="0062166F"/>
    <w:rsid w:val="006258F0"/>
    <w:rsid w:val="00632ABB"/>
    <w:rsid w:val="006427C6"/>
    <w:rsid w:val="006463DA"/>
    <w:rsid w:val="0065278F"/>
    <w:rsid w:val="00654A6F"/>
    <w:rsid w:val="00657094"/>
    <w:rsid w:val="00670299"/>
    <w:rsid w:val="006717ED"/>
    <w:rsid w:val="006732AC"/>
    <w:rsid w:val="006830FF"/>
    <w:rsid w:val="006931AF"/>
    <w:rsid w:val="0069638F"/>
    <w:rsid w:val="006C4DA4"/>
    <w:rsid w:val="006C52E7"/>
    <w:rsid w:val="006C556E"/>
    <w:rsid w:val="006C5B34"/>
    <w:rsid w:val="006C7C5C"/>
    <w:rsid w:val="006D6336"/>
    <w:rsid w:val="006E54C5"/>
    <w:rsid w:val="006F0993"/>
    <w:rsid w:val="006F5E1C"/>
    <w:rsid w:val="007133C3"/>
    <w:rsid w:val="00723500"/>
    <w:rsid w:val="00725624"/>
    <w:rsid w:val="00727CB2"/>
    <w:rsid w:val="00727D28"/>
    <w:rsid w:val="007427F3"/>
    <w:rsid w:val="00742B5E"/>
    <w:rsid w:val="00751BFB"/>
    <w:rsid w:val="00764F00"/>
    <w:rsid w:val="007650AD"/>
    <w:rsid w:val="007707EF"/>
    <w:rsid w:val="00776F9A"/>
    <w:rsid w:val="0078329E"/>
    <w:rsid w:val="007833B3"/>
    <w:rsid w:val="0079679A"/>
    <w:rsid w:val="007B1D34"/>
    <w:rsid w:val="007B3A41"/>
    <w:rsid w:val="007B3CD9"/>
    <w:rsid w:val="007C4341"/>
    <w:rsid w:val="007C4C09"/>
    <w:rsid w:val="007C5C44"/>
    <w:rsid w:val="007E19E0"/>
    <w:rsid w:val="007E3107"/>
    <w:rsid w:val="007F099E"/>
    <w:rsid w:val="007F2CB1"/>
    <w:rsid w:val="00826ED4"/>
    <w:rsid w:val="008309C2"/>
    <w:rsid w:val="00843996"/>
    <w:rsid w:val="00847D49"/>
    <w:rsid w:val="00850CF6"/>
    <w:rsid w:val="00866814"/>
    <w:rsid w:val="00873F55"/>
    <w:rsid w:val="00874156"/>
    <w:rsid w:val="00877433"/>
    <w:rsid w:val="00884B70"/>
    <w:rsid w:val="00895476"/>
    <w:rsid w:val="008B0698"/>
    <w:rsid w:val="008B1171"/>
    <w:rsid w:val="008B451B"/>
    <w:rsid w:val="008D44B8"/>
    <w:rsid w:val="008D5644"/>
    <w:rsid w:val="008F2605"/>
    <w:rsid w:val="009063BD"/>
    <w:rsid w:val="00910DC8"/>
    <w:rsid w:val="009120C2"/>
    <w:rsid w:val="00915945"/>
    <w:rsid w:val="009203A7"/>
    <w:rsid w:val="00922B65"/>
    <w:rsid w:val="009236C1"/>
    <w:rsid w:val="0093083B"/>
    <w:rsid w:val="00933EFF"/>
    <w:rsid w:val="009367AD"/>
    <w:rsid w:val="00947930"/>
    <w:rsid w:val="0095065F"/>
    <w:rsid w:val="0095373F"/>
    <w:rsid w:val="0095629A"/>
    <w:rsid w:val="00957079"/>
    <w:rsid w:val="00971D69"/>
    <w:rsid w:val="009725F1"/>
    <w:rsid w:val="00975166"/>
    <w:rsid w:val="0098030C"/>
    <w:rsid w:val="009978C3"/>
    <w:rsid w:val="009A09E8"/>
    <w:rsid w:val="009B3363"/>
    <w:rsid w:val="009C1F9E"/>
    <w:rsid w:val="009C208A"/>
    <w:rsid w:val="009C21FB"/>
    <w:rsid w:val="009C236E"/>
    <w:rsid w:val="009C7E61"/>
    <w:rsid w:val="009D2F8D"/>
    <w:rsid w:val="009D4227"/>
    <w:rsid w:val="009D6079"/>
    <w:rsid w:val="009E20B1"/>
    <w:rsid w:val="009F45FD"/>
    <w:rsid w:val="009F69FE"/>
    <w:rsid w:val="00A007A4"/>
    <w:rsid w:val="00A01679"/>
    <w:rsid w:val="00A03F30"/>
    <w:rsid w:val="00A13D1F"/>
    <w:rsid w:val="00A2219D"/>
    <w:rsid w:val="00A24371"/>
    <w:rsid w:val="00A30520"/>
    <w:rsid w:val="00A32244"/>
    <w:rsid w:val="00A459C6"/>
    <w:rsid w:val="00A53766"/>
    <w:rsid w:val="00A578BF"/>
    <w:rsid w:val="00A77D53"/>
    <w:rsid w:val="00A81AD3"/>
    <w:rsid w:val="00A83FF4"/>
    <w:rsid w:val="00A9620F"/>
    <w:rsid w:val="00AA29D2"/>
    <w:rsid w:val="00AA5359"/>
    <w:rsid w:val="00AA78EF"/>
    <w:rsid w:val="00AB29E4"/>
    <w:rsid w:val="00AB45DF"/>
    <w:rsid w:val="00AC00A6"/>
    <w:rsid w:val="00AE0F14"/>
    <w:rsid w:val="00AE2857"/>
    <w:rsid w:val="00AF066D"/>
    <w:rsid w:val="00AF1500"/>
    <w:rsid w:val="00B02D33"/>
    <w:rsid w:val="00B050CA"/>
    <w:rsid w:val="00B103BC"/>
    <w:rsid w:val="00B31B6D"/>
    <w:rsid w:val="00B32244"/>
    <w:rsid w:val="00B35389"/>
    <w:rsid w:val="00B63C90"/>
    <w:rsid w:val="00B734AE"/>
    <w:rsid w:val="00B7592E"/>
    <w:rsid w:val="00B77FDD"/>
    <w:rsid w:val="00BB63AC"/>
    <w:rsid w:val="00BC3F79"/>
    <w:rsid w:val="00BE6DB9"/>
    <w:rsid w:val="00BF13E6"/>
    <w:rsid w:val="00BF1D72"/>
    <w:rsid w:val="00BF7604"/>
    <w:rsid w:val="00C001C4"/>
    <w:rsid w:val="00C028C5"/>
    <w:rsid w:val="00C0315E"/>
    <w:rsid w:val="00C15755"/>
    <w:rsid w:val="00C15CE9"/>
    <w:rsid w:val="00C22A27"/>
    <w:rsid w:val="00C242E4"/>
    <w:rsid w:val="00C30346"/>
    <w:rsid w:val="00C326BC"/>
    <w:rsid w:val="00C34D2C"/>
    <w:rsid w:val="00C459C0"/>
    <w:rsid w:val="00C51C9E"/>
    <w:rsid w:val="00C667D6"/>
    <w:rsid w:val="00C66A7D"/>
    <w:rsid w:val="00C6756B"/>
    <w:rsid w:val="00C70810"/>
    <w:rsid w:val="00C75ED4"/>
    <w:rsid w:val="00CB4F30"/>
    <w:rsid w:val="00CC1AED"/>
    <w:rsid w:val="00CC3B05"/>
    <w:rsid w:val="00CC4B5B"/>
    <w:rsid w:val="00CD00F6"/>
    <w:rsid w:val="00CD013C"/>
    <w:rsid w:val="00CD0E67"/>
    <w:rsid w:val="00CD1521"/>
    <w:rsid w:val="00CE21C8"/>
    <w:rsid w:val="00CE2D76"/>
    <w:rsid w:val="00CE50A9"/>
    <w:rsid w:val="00CE6300"/>
    <w:rsid w:val="00CF1872"/>
    <w:rsid w:val="00CF1E5D"/>
    <w:rsid w:val="00D14BF6"/>
    <w:rsid w:val="00D31D8D"/>
    <w:rsid w:val="00D31EAF"/>
    <w:rsid w:val="00D44554"/>
    <w:rsid w:val="00D450E5"/>
    <w:rsid w:val="00D455DF"/>
    <w:rsid w:val="00D506C5"/>
    <w:rsid w:val="00D55A03"/>
    <w:rsid w:val="00D6348E"/>
    <w:rsid w:val="00D675DA"/>
    <w:rsid w:val="00D705A5"/>
    <w:rsid w:val="00D77F34"/>
    <w:rsid w:val="00D828D0"/>
    <w:rsid w:val="00D843AD"/>
    <w:rsid w:val="00D878A6"/>
    <w:rsid w:val="00D9113E"/>
    <w:rsid w:val="00D919D0"/>
    <w:rsid w:val="00D92396"/>
    <w:rsid w:val="00D92E9C"/>
    <w:rsid w:val="00DB5613"/>
    <w:rsid w:val="00DC0B16"/>
    <w:rsid w:val="00DC705B"/>
    <w:rsid w:val="00DD0A5A"/>
    <w:rsid w:val="00DD4951"/>
    <w:rsid w:val="00DD57DA"/>
    <w:rsid w:val="00DE628D"/>
    <w:rsid w:val="00DE7773"/>
    <w:rsid w:val="00DF6337"/>
    <w:rsid w:val="00E04C4B"/>
    <w:rsid w:val="00E06593"/>
    <w:rsid w:val="00E16CF8"/>
    <w:rsid w:val="00E208D2"/>
    <w:rsid w:val="00E23BF1"/>
    <w:rsid w:val="00E24FFE"/>
    <w:rsid w:val="00E3059A"/>
    <w:rsid w:val="00E33195"/>
    <w:rsid w:val="00E528AA"/>
    <w:rsid w:val="00E55E01"/>
    <w:rsid w:val="00E56F64"/>
    <w:rsid w:val="00E60B0B"/>
    <w:rsid w:val="00E64512"/>
    <w:rsid w:val="00E67A81"/>
    <w:rsid w:val="00E70D7A"/>
    <w:rsid w:val="00E71E65"/>
    <w:rsid w:val="00E77EB5"/>
    <w:rsid w:val="00E8466D"/>
    <w:rsid w:val="00E84A80"/>
    <w:rsid w:val="00E96015"/>
    <w:rsid w:val="00EA2BF8"/>
    <w:rsid w:val="00EA5EE2"/>
    <w:rsid w:val="00EB3C2E"/>
    <w:rsid w:val="00EC4733"/>
    <w:rsid w:val="00EC608F"/>
    <w:rsid w:val="00EE18AA"/>
    <w:rsid w:val="00EE5DF5"/>
    <w:rsid w:val="00EF2778"/>
    <w:rsid w:val="00EF4E21"/>
    <w:rsid w:val="00EF5ACF"/>
    <w:rsid w:val="00EF63A1"/>
    <w:rsid w:val="00F045D7"/>
    <w:rsid w:val="00F04F00"/>
    <w:rsid w:val="00F1631B"/>
    <w:rsid w:val="00F25316"/>
    <w:rsid w:val="00F273D9"/>
    <w:rsid w:val="00F410FE"/>
    <w:rsid w:val="00F54E69"/>
    <w:rsid w:val="00F604CA"/>
    <w:rsid w:val="00F705CC"/>
    <w:rsid w:val="00F72521"/>
    <w:rsid w:val="00F80423"/>
    <w:rsid w:val="00F92E99"/>
    <w:rsid w:val="00F93522"/>
    <w:rsid w:val="00F93FB6"/>
    <w:rsid w:val="00FA421E"/>
    <w:rsid w:val="00FA6F60"/>
    <w:rsid w:val="00FB609B"/>
    <w:rsid w:val="00FC472D"/>
    <w:rsid w:val="00FD2B15"/>
    <w:rsid w:val="00FD2D80"/>
    <w:rsid w:val="00FD66C7"/>
    <w:rsid w:val="00FE1EEE"/>
    <w:rsid w:val="00FE24CE"/>
    <w:rsid w:val="00FE5F4C"/>
    <w:rsid w:val="00FE6090"/>
    <w:rsid w:val="00FF134A"/>
    <w:rsid w:val="00FF17D7"/>
    <w:rsid w:val="00FF3E75"/>
    <w:rsid w:val="00FF4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FA6FD-0974-490B-8CFD-79292463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72"/>
  </w:style>
  <w:style w:type="paragraph" w:styleId="2">
    <w:name w:val="heading 2"/>
    <w:basedOn w:val="a"/>
    <w:next w:val="a"/>
    <w:link w:val="2Char"/>
    <w:qFormat/>
    <w:rsid w:val="00E06593"/>
    <w:pPr>
      <w:keepNext/>
      <w:keepLines/>
      <w:spacing w:before="200" w:after="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5C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15CE9"/>
    <w:rPr>
      <w:rFonts w:ascii="Tahoma" w:hAnsi="Tahoma" w:cs="Tahoma"/>
      <w:sz w:val="16"/>
      <w:szCs w:val="16"/>
    </w:rPr>
  </w:style>
  <w:style w:type="paragraph" w:styleId="a4">
    <w:name w:val="header"/>
    <w:basedOn w:val="a"/>
    <w:link w:val="Char0"/>
    <w:uiPriority w:val="99"/>
    <w:semiHidden/>
    <w:unhideWhenUsed/>
    <w:rsid w:val="003355BE"/>
    <w:pPr>
      <w:tabs>
        <w:tab w:val="center" w:pos="4153"/>
        <w:tab w:val="right" w:pos="8306"/>
      </w:tabs>
      <w:spacing w:after="0" w:line="240" w:lineRule="auto"/>
    </w:pPr>
  </w:style>
  <w:style w:type="character" w:customStyle="1" w:styleId="Char0">
    <w:name w:val="Κεφαλίδα Char"/>
    <w:basedOn w:val="a0"/>
    <w:link w:val="a4"/>
    <w:uiPriority w:val="99"/>
    <w:semiHidden/>
    <w:rsid w:val="003355BE"/>
  </w:style>
  <w:style w:type="paragraph" w:styleId="a5">
    <w:name w:val="footer"/>
    <w:basedOn w:val="a"/>
    <w:link w:val="Char1"/>
    <w:uiPriority w:val="99"/>
    <w:unhideWhenUsed/>
    <w:rsid w:val="003355BE"/>
    <w:pPr>
      <w:tabs>
        <w:tab w:val="center" w:pos="4153"/>
        <w:tab w:val="right" w:pos="8306"/>
      </w:tabs>
      <w:spacing w:after="0" w:line="240" w:lineRule="auto"/>
    </w:pPr>
  </w:style>
  <w:style w:type="character" w:customStyle="1" w:styleId="Char1">
    <w:name w:val="Υποσέλιδο Char"/>
    <w:basedOn w:val="a0"/>
    <w:link w:val="a5"/>
    <w:uiPriority w:val="99"/>
    <w:rsid w:val="003355BE"/>
  </w:style>
  <w:style w:type="paragraph" w:customStyle="1" w:styleId="s10">
    <w:name w:val="s10"/>
    <w:basedOn w:val="a"/>
    <w:rsid w:val="00532176"/>
    <w:pPr>
      <w:spacing w:before="100" w:beforeAutospacing="1" w:after="100" w:afterAutospacing="1" w:line="240" w:lineRule="auto"/>
    </w:pPr>
    <w:rPr>
      <w:rFonts w:ascii="Times New Roman" w:hAnsi="Times New Roman" w:cs="Times New Roman"/>
      <w:sz w:val="24"/>
      <w:szCs w:val="24"/>
      <w:lang w:eastAsia="el-GR"/>
    </w:rPr>
  </w:style>
  <w:style w:type="paragraph" w:customStyle="1" w:styleId="s12">
    <w:name w:val="s12"/>
    <w:basedOn w:val="a"/>
    <w:rsid w:val="00532176"/>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9">
    <w:name w:val="s9"/>
    <w:basedOn w:val="a0"/>
    <w:rsid w:val="00532176"/>
  </w:style>
  <w:style w:type="character" w:customStyle="1" w:styleId="s11">
    <w:name w:val="s11"/>
    <w:basedOn w:val="a0"/>
    <w:rsid w:val="00532176"/>
  </w:style>
  <w:style w:type="character" w:customStyle="1" w:styleId="s13">
    <w:name w:val="s13"/>
    <w:basedOn w:val="a0"/>
    <w:rsid w:val="00532176"/>
  </w:style>
  <w:style w:type="paragraph" w:customStyle="1" w:styleId="s5">
    <w:name w:val="s5"/>
    <w:basedOn w:val="a"/>
    <w:rsid w:val="007E3107"/>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3">
    <w:name w:val="s3"/>
    <w:basedOn w:val="a0"/>
    <w:rsid w:val="007E3107"/>
  </w:style>
  <w:style w:type="character" w:customStyle="1" w:styleId="s8">
    <w:name w:val="s8"/>
    <w:basedOn w:val="a0"/>
    <w:rsid w:val="007E3107"/>
  </w:style>
  <w:style w:type="paragraph" w:styleId="a6">
    <w:name w:val="List Paragraph"/>
    <w:basedOn w:val="a"/>
    <w:uiPriority w:val="34"/>
    <w:qFormat/>
    <w:rsid w:val="004C1745"/>
    <w:pPr>
      <w:ind w:left="720"/>
      <w:contextualSpacing/>
    </w:pPr>
    <w:rPr>
      <w:rFonts w:ascii="Calibri" w:eastAsia="Calibri" w:hAnsi="Calibri" w:cs="Times New Roman"/>
    </w:rPr>
  </w:style>
  <w:style w:type="paragraph" w:styleId="20">
    <w:name w:val="Body Text Indent 2"/>
    <w:basedOn w:val="a"/>
    <w:link w:val="2Char0"/>
    <w:rsid w:val="001800DB"/>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link w:val="20"/>
    <w:rsid w:val="001800DB"/>
    <w:rPr>
      <w:rFonts w:ascii="Times New Roman" w:eastAsia="Times New Roman" w:hAnsi="Times New Roman" w:cs="Times New Roman"/>
      <w:sz w:val="24"/>
      <w:szCs w:val="24"/>
      <w:lang w:eastAsia="el-GR"/>
    </w:rPr>
  </w:style>
  <w:style w:type="paragraph" w:styleId="Web">
    <w:name w:val="Normal (Web)"/>
    <w:basedOn w:val="a"/>
    <w:uiPriority w:val="99"/>
    <w:unhideWhenUsed/>
    <w:rsid w:val="00552288"/>
    <w:pPr>
      <w:spacing w:before="100" w:beforeAutospacing="1" w:after="100" w:afterAutospacing="1" w:line="240" w:lineRule="auto"/>
    </w:pPr>
    <w:rPr>
      <w:rFonts w:ascii="Times New Roman" w:hAnsi="Times New Roman" w:cs="Times New Roman"/>
      <w:sz w:val="24"/>
      <w:szCs w:val="24"/>
      <w:lang w:eastAsia="el-GR"/>
    </w:rPr>
  </w:style>
  <w:style w:type="character" w:styleId="a7">
    <w:name w:val="Emphasis"/>
    <w:basedOn w:val="a0"/>
    <w:qFormat/>
    <w:rsid w:val="00CD00F6"/>
    <w:rPr>
      <w:i/>
      <w:iCs/>
    </w:rPr>
  </w:style>
  <w:style w:type="paragraph" w:customStyle="1" w:styleId="s4">
    <w:name w:val="s4"/>
    <w:basedOn w:val="a"/>
    <w:rsid w:val="005F5867"/>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iv3201444370msonormal">
    <w:name w:val="yiv3201444370msonormal"/>
    <w:basedOn w:val="a"/>
    <w:rsid w:val="00654A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ody Text"/>
    <w:basedOn w:val="a"/>
    <w:link w:val="Char2"/>
    <w:uiPriority w:val="99"/>
    <w:semiHidden/>
    <w:unhideWhenUsed/>
    <w:rsid w:val="006C5B34"/>
    <w:pPr>
      <w:spacing w:after="120"/>
    </w:pPr>
  </w:style>
  <w:style w:type="character" w:customStyle="1" w:styleId="Char2">
    <w:name w:val="Σώμα κειμένου Char"/>
    <w:basedOn w:val="a0"/>
    <w:link w:val="a8"/>
    <w:uiPriority w:val="99"/>
    <w:semiHidden/>
    <w:rsid w:val="006C5B34"/>
  </w:style>
  <w:style w:type="paragraph" w:styleId="a9">
    <w:name w:val="caption"/>
    <w:basedOn w:val="a"/>
    <w:next w:val="a"/>
    <w:semiHidden/>
    <w:unhideWhenUsed/>
    <w:qFormat/>
    <w:rsid w:val="006C5B34"/>
    <w:pPr>
      <w:spacing w:after="0" w:line="240" w:lineRule="auto"/>
      <w:jc w:val="center"/>
    </w:pPr>
    <w:rPr>
      <w:rFonts w:ascii="Times New Roman" w:eastAsia="Times New Roman" w:hAnsi="Times New Roman" w:cs="Times New Roman"/>
      <w:b/>
      <w:bCs/>
      <w:i/>
      <w:iCs/>
      <w:sz w:val="24"/>
      <w:szCs w:val="24"/>
      <w:lang w:eastAsia="el-GR"/>
    </w:rPr>
  </w:style>
  <w:style w:type="paragraph" w:customStyle="1" w:styleId="s2">
    <w:name w:val="s2"/>
    <w:basedOn w:val="a"/>
    <w:rsid w:val="006C5B34"/>
    <w:pPr>
      <w:spacing w:before="100" w:beforeAutospacing="1" w:after="100" w:afterAutospacing="1" w:line="240" w:lineRule="auto"/>
    </w:pPr>
    <w:rPr>
      <w:rFonts w:ascii="Times New Roman" w:hAnsi="Times New Roman" w:cs="Times New Roman"/>
      <w:sz w:val="24"/>
      <w:szCs w:val="24"/>
      <w:lang w:eastAsia="el-GR"/>
    </w:rPr>
  </w:style>
  <w:style w:type="character" w:customStyle="1" w:styleId="bumpedfont15">
    <w:name w:val="bumpedfont15"/>
    <w:basedOn w:val="a0"/>
    <w:rsid w:val="006C5B34"/>
  </w:style>
  <w:style w:type="paragraph" w:styleId="aa">
    <w:name w:val="footnote text"/>
    <w:basedOn w:val="a"/>
    <w:link w:val="Char3"/>
    <w:uiPriority w:val="99"/>
    <w:semiHidden/>
    <w:unhideWhenUsed/>
    <w:rsid w:val="009F69FE"/>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υποσημείωσης Char"/>
    <w:basedOn w:val="a0"/>
    <w:link w:val="aa"/>
    <w:uiPriority w:val="99"/>
    <w:semiHidden/>
    <w:rsid w:val="009F69FE"/>
    <w:rPr>
      <w:rFonts w:ascii="Times New Roman" w:eastAsia="Times New Roman" w:hAnsi="Times New Roman" w:cs="Times New Roman"/>
      <w:sz w:val="20"/>
      <w:szCs w:val="20"/>
      <w:lang w:eastAsia="el-GR"/>
    </w:rPr>
  </w:style>
  <w:style w:type="paragraph" w:customStyle="1" w:styleId="TableParagraph">
    <w:name w:val="Table Paragraph"/>
    <w:basedOn w:val="a"/>
    <w:uiPriority w:val="1"/>
    <w:qFormat/>
    <w:rsid w:val="009F69FE"/>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b">
    <w:name w:val="footnote reference"/>
    <w:basedOn w:val="a0"/>
    <w:uiPriority w:val="99"/>
    <w:semiHidden/>
    <w:unhideWhenUsed/>
    <w:rsid w:val="009F69FE"/>
    <w:rPr>
      <w:vertAlign w:val="superscript"/>
    </w:rPr>
  </w:style>
  <w:style w:type="character" w:styleId="-">
    <w:name w:val="Hyperlink"/>
    <w:basedOn w:val="a0"/>
    <w:uiPriority w:val="99"/>
    <w:semiHidden/>
    <w:unhideWhenUsed/>
    <w:rsid w:val="009F69FE"/>
    <w:rPr>
      <w:color w:val="0000FF"/>
      <w:u w:val="single"/>
    </w:rPr>
  </w:style>
  <w:style w:type="paragraph" w:styleId="ac">
    <w:name w:val="Body Text Indent"/>
    <w:basedOn w:val="a"/>
    <w:link w:val="Char4"/>
    <w:uiPriority w:val="99"/>
    <w:semiHidden/>
    <w:unhideWhenUsed/>
    <w:rsid w:val="009B3363"/>
    <w:pPr>
      <w:spacing w:after="120"/>
      <w:ind w:left="283"/>
    </w:pPr>
  </w:style>
  <w:style w:type="character" w:customStyle="1" w:styleId="Char4">
    <w:name w:val="Σώμα κείμενου με εσοχή Char"/>
    <w:basedOn w:val="a0"/>
    <w:link w:val="ac"/>
    <w:uiPriority w:val="99"/>
    <w:semiHidden/>
    <w:rsid w:val="009B3363"/>
  </w:style>
  <w:style w:type="character" w:styleId="ad">
    <w:name w:val="Strong"/>
    <w:basedOn w:val="a0"/>
    <w:qFormat/>
    <w:rsid w:val="009B3363"/>
    <w:rPr>
      <w:b/>
      <w:bCs/>
    </w:rPr>
  </w:style>
  <w:style w:type="paragraph" w:customStyle="1" w:styleId="s19">
    <w:name w:val="s19"/>
    <w:basedOn w:val="a"/>
    <w:rsid w:val="00E71E6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16">
    <w:name w:val="s16"/>
    <w:basedOn w:val="a0"/>
    <w:rsid w:val="00E71E65"/>
  </w:style>
  <w:style w:type="paragraph" w:customStyle="1" w:styleId="s6">
    <w:name w:val="s6"/>
    <w:basedOn w:val="a"/>
    <w:rsid w:val="002124F2"/>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7">
    <w:name w:val="s7"/>
    <w:basedOn w:val="a0"/>
    <w:rsid w:val="002124F2"/>
  </w:style>
  <w:style w:type="character" w:customStyle="1" w:styleId="s15">
    <w:name w:val="s15"/>
    <w:basedOn w:val="a0"/>
    <w:rsid w:val="002124F2"/>
  </w:style>
  <w:style w:type="paragraph" w:styleId="21">
    <w:name w:val="Body Text 2"/>
    <w:basedOn w:val="a"/>
    <w:link w:val="2Char1"/>
    <w:uiPriority w:val="99"/>
    <w:semiHidden/>
    <w:unhideWhenUsed/>
    <w:rsid w:val="009120C2"/>
    <w:pPr>
      <w:spacing w:after="120" w:line="480" w:lineRule="auto"/>
    </w:pPr>
  </w:style>
  <w:style w:type="character" w:customStyle="1" w:styleId="2Char1">
    <w:name w:val="Σώμα κείμενου 2 Char"/>
    <w:basedOn w:val="a0"/>
    <w:link w:val="21"/>
    <w:uiPriority w:val="99"/>
    <w:semiHidden/>
    <w:rsid w:val="009120C2"/>
  </w:style>
  <w:style w:type="character" w:customStyle="1" w:styleId="s14">
    <w:name w:val="s14"/>
    <w:basedOn w:val="a0"/>
    <w:rsid w:val="00E64512"/>
  </w:style>
  <w:style w:type="paragraph" w:styleId="ae">
    <w:name w:val="Plain Text"/>
    <w:basedOn w:val="a"/>
    <w:link w:val="Char5"/>
    <w:uiPriority w:val="99"/>
    <w:rsid w:val="00E64512"/>
    <w:pPr>
      <w:spacing w:after="0" w:line="240" w:lineRule="auto"/>
    </w:pPr>
    <w:rPr>
      <w:rFonts w:ascii="Consolas" w:eastAsia="Calibri" w:hAnsi="Consolas" w:cs="Times New Roman"/>
      <w:sz w:val="21"/>
      <w:szCs w:val="21"/>
    </w:rPr>
  </w:style>
  <w:style w:type="character" w:customStyle="1" w:styleId="Char5">
    <w:name w:val="Απλό κείμενο Char"/>
    <w:basedOn w:val="a0"/>
    <w:link w:val="ae"/>
    <w:uiPriority w:val="99"/>
    <w:rsid w:val="00E64512"/>
    <w:rPr>
      <w:rFonts w:ascii="Consolas" w:eastAsia="Calibri" w:hAnsi="Consolas" w:cs="Times New Roman"/>
      <w:sz w:val="21"/>
      <w:szCs w:val="21"/>
    </w:rPr>
  </w:style>
  <w:style w:type="character" w:customStyle="1" w:styleId="2Char">
    <w:name w:val="Επικεφαλίδα 2 Char"/>
    <w:basedOn w:val="a0"/>
    <w:link w:val="2"/>
    <w:rsid w:val="00E06593"/>
    <w:rPr>
      <w:rFonts w:ascii="Cambria" w:eastAsia="Calibri" w:hAnsi="Cambria" w:cs="Times New Roman"/>
      <w:b/>
      <w:bCs/>
      <w:color w:val="4F81BD"/>
      <w:sz w:val="26"/>
      <w:szCs w:val="26"/>
    </w:rPr>
  </w:style>
  <w:style w:type="table" w:styleId="af">
    <w:name w:val="Table Grid"/>
    <w:basedOn w:val="a1"/>
    <w:uiPriority w:val="59"/>
    <w:rsid w:val="00E0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CF1E5D"/>
    <w:pPr>
      <w:spacing w:after="0" w:line="240" w:lineRule="auto"/>
    </w:pPr>
    <w:rPr>
      <w:rFonts w:ascii=".SF UI Display" w:hAnsi=".SF UI Display" w:cs="Times New Roman"/>
      <w:color w:val="454545"/>
      <w:sz w:val="35"/>
      <w:szCs w:val="35"/>
      <w:lang w:eastAsia="el-GR"/>
    </w:rPr>
  </w:style>
  <w:style w:type="paragraph" w:customStyle="1" w:styleId="p2">
    <w:name w:val="p2"/>
    <w:basedOn w:val="a"/>
    <w:rsid w:val="00CF1E5D"/>
    <w:pPr>
      <w:spacing w:after="0" w:line="240" w:lineRule="auto"/>
    </w:pPr>
    <w:rPr>
      <w:rFonts w:ascii=".SF UI Display" w:hAnsi=".SF UI Display" w:cs="Times New Roman"/>
      <w:color w:val="454545"/>
      <w:sz w:val="35"/>
      <w:szCs w:val="35"/>
      <w:lang w:eastAsia="el-GR"/>
    </w:rPr>
  </w:style>
  <w:style w:type="character" w:customStyle="1" w:styleId="s1">
    <w:name w:val="s1"/>
    <w:basedOn w:val="a0"/>
    <w:rsid w:val="00CF1E5D"/>
    <w:rPr>
      <w:rFonts w:ascii=".SFUIDisplay-Regular" w:hAnsi=".SFUIDisplay-Regular" w:hint="default"/>
      <w:b w:val="0"/>
      <w:bCs w:val="0"/>
      <w:i w:val="0"/>
      <w:iCs w:val="0"/>
      <w:sz w:val="46"/>
      <w:szCs w:val="46"/>
    </w:rPr>
  </w:style>
  <w:style w:type="character" w:customStyle="1" w:styleId="apple-converted-space">
    <w:name w:val="apple-converted-space"/>
    <w:basedOn w:val="a0"/>
    <w:rsid w:val="00CF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154">
      <w:bodyDiv w:val="1"/>
      <w:marLeft w:val="0"/>
      <w:marRight w:val="0"/>
      <w:marTop w:val="0"/>
      <w:marBottom w:val="0"/>
      <w:divBdr>
        <w:top w:val="none" w:sz="0" w:space="0" w:color="auto"/>
        <w:left w:val="none" w:sz="0" w:space="0" w:color="auto"/>
        <w:bottom w:val="none" w:sz="0" w:space="0" w:color="auto"/>
        <w:right w:val="none" w:sz="0" w:space="0" w:color="auto"/>
      </w:divBdr>
    </w:div>
    <w:div w:id="35088739">
      <w:bodyDiv w:val="1"/>
      <w:marLeft w:val="0"/>
      <w:marRight w:val="0"/>
      <w:marTop w:val="0"/>
      <w:marBottom w:val="0"/>
      <w:divBdr>
        <w:top w:val="none" w:sz="0" w:space="0" w:color="auto"/>
        <w:left w:val="none" w:sz="0" w:space="0" w:color="auto"/>
        <w:bottom w:val="none" w:sz="0" w:space="0" w:color="auto"/>
        <w:right w:val="none" w:sz="0" w:space="0" w:color="auto"/>
      </w:divBdr>
    </w:div>
    <w:div w:id="59522679">
      <w:bodyDiv w:val="1"/>
      <w:marLeft w:val="0"/>
      <w:marRight w:val="0"/>
      <w:marTop w:val="0"/>
      <w:marBottom w:val="0"/>
      <w:divBdr>
        <w:top w:val="none" w:sz="0" w:space="0" w:color="auto"/>
        <w:left w:val="none" w:sz="0" w:space="0" w:color="auto"/>
        <w:bottom w:val="none" w:sz="0" w:space="0" w:color="auto"/>
        <w:right w:val="none" w:sz="0" w:space="0" w:color="auto"/>
      </w:divBdr>
    </w:div>
    <w:div w:id="163205231">
      <w:bodyDiv w:val="1"/>
      <w:marLeft w:val="0"/>
      <w:marRight w:val="0"/>
      <w:marTop w:val="0"/>
      <w:marBottom w:val="0"/>
      <w:divBdr>
        <w:top w:val="none" w:sz="0" w:space="0" w:color="auto"/>
        <w:left w:val="none" w:sz="0" w:space="0" w:color="auto"/>
        <w:bottom w:val="none" w:sz="0" w:space="0" w:color="auto"/>
        <w:right w:val="none" w:sz="0" w:space="0" w:color="auto"/>
      </w:divBdr>
    </w:div>
    <w:div w:id="370039344">
      <w:bodyDiv w:val="1"/>
      <w:marLeft w:val="0"/>
      <w:marRight w:val="0"/>
      <w:marTop w:val="0"/>
      <w:marBottom w:val="0"/>
      <w:divBdr>
        <w:top w:val="none" w:sz="0" w:space="0" w:color="auto"/>
        <w:left w:val="none" w:sz="0" w:space="0" w:color="auto"/>
        <w:bottom w:val="none" w:sz="0" w:space="0" w:color="auto"/>
        <w:right w:val="none" w:sz="0" w:space="0" w:color="auto"/>
      </w:divBdr>
    </w:div>
    <w:div w:id="466246089">
      <w:bodyDiv w:val="1"/>
      <w:marLeft w:val="0"/>
      <w:marRight w:val="0"/>
      <w:marTop w:val="0"/>
      <w:marBottom w:val="0"/>
      <w:divBdr>
        <w:top w:val="none" w:sz="0" w:space="0" w:color="auto"/>
        <w:left w:val="none" w:sz="0" w:space="0" w:color="auto"/>
        <w:bottom w:val="none" w:sz="0" w:space="0" w:color="auto"/>
        <w:right w:val="none" w:sz="0" w:space="0" w:color="auto"/>
      </w:divBdr>
    </w:div>
    <w:div w:id="466507453">
      <w:bodyDiv w:val="1"/>
      <w:marLeft w:val="0"/>
      <w:marRight w:val="0"/>
      <w:marTop w:val="0"/>
      <w:marBottom w:val="0"/>
      <w:divBdr>
        <w:top w:val="none" w:sz="0" w:space="0" w:color="auto"/>
        <w:left w:val="none" w:sz="0" w:space="0" w:color="auto"/>
        <w:bottom w:val="none" w:sz="0" w:space="0" w:color="auto"/>
        <w:right w:val="none" w:sz="0" w:space="0" w:color="auto"/>
      </w:divBdr>
    </w:div>
    <w:div w:id="515850600">
      <w:bodyDiv w:val="1"/>
      <w:marLeft w:val="0"/>
      <w:marRight w:val="0"/>
      <w:marTop w:val="0"/>
      <w:marBottom w:val="0"/>
      <w:divBdr>
        <w:top w:val="none" w:sz="0" w:space="0" w:color="auto"/>
        <w:left w:val="none" w:sz="0" w:space="0" w:color="auto"/>
        <w:bottom w:val="none" w:sz="0" w:space="0" w:color="auto"/>
        <w:right w:val="none" w:sz="0" w:space="0" w:color="auto"/>
      </w:divBdr>
    </w:div>
    <w:div w:id="515968332">
      <w:bodyDiv w:val="1"/>
      <w:marLeft w:val="0"/>
      <w:marRight w:val="0"/>
      <w:marTop w:val="0"/>
      <w:marBottom w:val="0"/>
      <w:divBdr>
        <w:top w:val="none" w:sz="0" w:space="0" w:color="auto"/>
        <w:left w:val="none" w:sz="0" w:space="0" w:color="auto"/>
        <w:bottom w:val="none" w:sz="0" w:space="0" w:color="auto"/>
        <w:right w:val="none" w:sz="0" w:space="0" w:color="auto"/>
      </w:divBdr>
    </w:div>
    <w:div w:id="571814159">
      <w:bodyDiv w:val="1"/>
      <w:marLeft w:val="0"/>
      <w:marRight w:val="0"/>
      <w:marTop w:val="0"/>
      <w:marBottom w:val="0"/>
      <w:divBdr>
        <w:top w:val="none" w:sz="0" w:space="0" w:color="auto"/>
        <w:left w:val="none" w:sz="0" w:space="0" w:color="auto"/>
        <w:bottom w:val="none" w:sz="0" w:space="0" w:color="auto"/>
        <w:right w:val="none" w:sz="0" w:space="0" w:color="auto"/>
      </w:divBdr>
    </w:div>
    <w:div w:id="655651935">
      <w:bodyDiv w:val="1"/>
      <w:marLeft w:val="0"/>
      <w:marRight w:val="0"/>
      <w:marTop w:val="0"/>
      <w:marBottom w:val="0"/>
      <w:divBdr>
        <w:top w:val="none" w:sz="0" w:space="0" w:color="auto"/>
        <w:left w:val="none" w:sz="0" w:space="0" w:color="auto"/>
        <w:bottom w:val="none" w:sz="0" w:space="0" w:color="auto"/>
        <w:right w:val="none" w:sz="0" w:space="0" w:color="auto"/>
      </w:divBdr>
    </w:div>
    <w:div w:id="680088235">
      <w:bodyDiv w:val="1"/>
      <w:marLeft w:val="0"/>
      <w:marRight w:val="0"/>
      <w:marTop w:val="0"/>
      <w:marBottom w:val="0"/>
      <w:divBdr>
        <w:top w:val="none" w:sz="0" w:space="0" w:color="auto"/>
        <w:left w:val="none" w:sz="0" w:space="0" w:color="auto"/>
        <w:bottom w:val="none" w:sz="0" w:space="0" w:color="auto"/>
        <w:right w:val="none" w:sz="0" w:space="0" w:color="auto"/>
      </w:divBdr>
    </w:div>
    <w:div w:id="765418237">
      <w:bodyDiv w:val="1"/>
      <w:marLeft w:val="0"/>
      <w:marRight w:val="0"/>
      <w:marTop w:val="0"/>
      <w:marBottom w:val="0"/>
      <w:divBdr>
        <w:top w:val="none" w:sz="0" w:space="0" w:color="auto"/>
        <w:left w:val="none" w:sz="0" w:space="0" w:color="auto"/>
        <w:bottom w:val="none" w:sz="0" w:space="0" w:color="auto"/>
        <w:right w:val="none" w:sz="0" w:space="0" w:color="auto"/>
      </w:divBdr>
    </w:div>
    <w:div w:id="862859971">
      <w:bodyDiv w:val="1"/>
      <w:marLeft w:val="0"/>
      <w:marRight w:val="0"/>
      <w:marTop w:val="0"/>
      <w:marBottom w:val="0"/>
      <w:divBdr>
        <w:top w:val="none" w:sz="0" w:space="0" w:color="auto"/>
        <w:left w:val="none" w:sz="0" w:space="0" w:color="auto"/>
        <w:bottom w:val="none" w:sz="0" w:space="0" w:color="auto"/>
        <w:right w:val="none" w:sz="0" w:space="0" w:color="auto"/>
      </w:divBdr>
    </w:div>
    <w:div w:id="931744028">
      <w:bodyDiv w:val="1"/>
      <w:marLeft w:val="0"/>
      <w:marRight w:val="0"/>
      <w:marTop w:val="0"/>
      <w:marBottom w:val="0"/>
      <w:divBdr>
        <w:top w:val="none" w:sz="0" w:space="0" w:color="auto"/>
        <w:left w:val="none" w:sz="0" w:space="0" w:color="auto"/>
        <w:bottom w:val="none" w:sz="0" w:space="0" w:color="auto"/>
        <w:right w:val="none" w:sz="0" w:space="0" w:color="auto"/>
      </w:divBdr>
    </w:div>
    <w:div w:id="1040669041">
      <w:bodyDiv w:val="1"/>
      <w:marLeft w:val="0"/>
      <w:marRight w:val="0"/>
      <w:marTop w:val="0"/>
      <w:marBottom w:val="0"/>
      <w:divBdr>
        <w:top w:val="none" w:sz="0" w:space="0" w:color="auto"/>
        <w:left w:val="none" w:sz="0" w:space="0" w:color="auto"/>
        <w:bottom w:val="none" w:sz="0" w:space="0" w:color="auto"/>
        <w:right w:val="none" w:sz="0" w:space="0" w:color="auto"/>
      </w:divBdr>
    </w:div>
    <w:div w:id="1168909595">
      <w:bodyDiv w:val="1"/>
      <w:marLeft w:val="0"/>
      <w:marRight w:val="0"/>
      <w:marTop w:val="0"/>
      <w:marBottom w:val="0"/>
      <w:divBdr>
        <w:top w:val="none" w:sz="0" w:space="0" w:color="auto"/>
        <w:left w:val="none" w:sz="0" w:space="0" w:color="auto"/>
        <w:bottom w:val="none" w:sz="0" w:space="0" w:color="auto"/>
        <w:right w:val="none" w:sz="0" w:space="0" w:color="auto"/>
      </w:divBdr>
    </w:div>
    <w:div w:id="1253781488">
      <w:bodyDiv w:val="1"/>
      <w:marLeft w:val="0"/>
      <w:marRight w:val="0"/>
      <w:marTop w:val="0"/>
      <w:marBottom w:val="0"/>
      <w:divBdr>
        <w:top w:val="none" w:sz="0" w:space="0" w:color="auto"/>
        <w:left w:val="none" w:sz="0" w:space="0" w:color="auto"/>
        <w:bottom w:val="none" w:sz="0" w:space="0" w:color="auto"/>
        <w:right w:val="none" w:sz="0" w:space="0" w:color="auto"/>
      </w:divBdr>
    </w:div>
    <w:div w:id="1331064662">
      <w:bodyDiv w:val="1"/>
      <w:marLeft w:val="0"/>
      <w:marRight w:val="0"/>
      <w:marTop w:val="0"/>
      <w:marBottom w:val="0"/>
      <w:divBdr>
        <w:top w:val="none" w:sz="0" w:space="0" w:color="auto"/>
        <w:left w:val="none" w:sz="0" w:space="0" w:color="auto"/>
        <w:bottom w:val="none" w:sz="0" w:space="0" w:color="auto"/>
        <w:right w:val="none" w:sz="0" w:space="0" w:color="auto"/>
      </w:divBdr>
    </w:div>
    <w:div w:id="1339044692">
      <w:bodyDiv w:val="1"/>
      <w:marLeft w:val="0"/>
      <w:marRight w:val="0"/>
      <w:marTop w:val="0"/>
      <w:marBottom w:val="0"/>
      <w:divBdr>
        <w:top w:val="none" w:sz="0" w:space="0" w:color="auto"/>
        <w:left w:val="none" w:sz="0" w:space="0" w:color="auto"/>
        <w:bottom w:val="none" w:sz="0" w:space="0" w:color="auto"/>
        <w:right w:val="none" w:sz="0" w:space="0" w:color="auto"/>
      </w:divBdr>
    </w:div>
    <w:div w:id="1377194547">
      <w:bodyDiv w:val="1"/>
      <w:marLeft w:val="0"/>
      <w:marRight w:val="0"/>
      <w:marTop w:val="0"/>
      <w:marBottom w:val="0"/>
      <w:divBdr>
        <w:top w:val="none" w:sz="0" w:space="0" w:color="auto"/>
        <w:left w:val="none" w:sz="0" w:space="0" w:color="auto"/>
        <w:bottom w:val="none" w:sz="0" w:space="0" w:color="auto"/>
        <w:right w:val="none" w:sz="0" w:space="0" w:color="auto"/>
      </w:divBdr>
    </w:div>
    <w:div w:id="1468282152">
      <w:bodyDiv w:val="1"/>
      <w:marLeft w:val="0"/>
      <w:marRight w:val="0"/>
      <w:marTop w:val="0"/>
      <w:marBottom w:val="0"/>
      <w:divBdr>
        <w:top w:val="none" w:sz="0" w:space="0" w:color="auto"/>
        <w:left w:val="none" w:sz="0" w:space="0" w:color="auto"/>
        <w:bottom w:val="none" w:sz="0" w:space="0" w:color="auto"/>
        <w:right w:val="none" w:sz="0" w:space="0" w:color="auto"/>
      </w:divBdr>
    </w:div>
    <w:div w:id="1510174561">
      <w:bodyDiv w:val="1"/>
      <w:marLeft w:val="0"/>
      <w:marRight w:val="0"/>
      <w:marTop w:val="0"/>
      <w:marBottom w:val="0"/>
      <w:divBdr>
        <w:top w:val="none" w:sz="0" w:space="0" w:color="auto"/>
        <w:left w:val="none" w:sz="0" w:space="0" w:color="auto"/>
        <w:bottom w:val="none" w:sz="0" w:space="0" w:color="auto"/>
        <w:right w:val="none" w:sz="0" w:space="0" w:color="auto"/>
      </w:divBdr>
    </w:div>
    <w:div w:id="1667324376">
      <w:bodyDiv w:val="1"/>
      <w:marLeft w:val="0"/>
      <w:marRight w:val="0"/>
      <w:marTop w:val="0"/>
      <w:marBottom w:val="0"/>
      <w:divBdr>
        <w:top w:val="none" w:sz="0" w:space="0" w:color="auto"/>
        <w:left w:val="none" w:sz="0" w:space="0" w:color="auto"/>
        <w:bottom w:val="none" w:sz="0" w:space="0" w:color="auto"/>
        <w:right w:val="none" w:sz="0" w:space="0" w:color="auto"/>
      </w:divBdr>
    </w:div>
    <w:div w:id="21304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22;&#945;&#964;&#945;&#957;&#959;&#956;&#949;&#962;%20&#952;&#949;&#961;&#953;&#957;&#949;&#962;%202018%20&#964;&#949;&#955;&#953;&#954;&#95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8\&#952;&#949;&#961;&#953;&#957;&#949;&#962;_2018_graphs%20&#964;&#949;&#955;&#953;&#954;&#95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l-GR" sz="1100"/>
              <a:t>Εξέλιξη κύκλου εργασιών το δίμηνο Ιούλιος - Αύγουστος (2016 - 2017 - 2018)</a:t>
            </a:r>
          </a:p>
        </c:rich>
      </c:tx>
      <c:overlay val="0"/>
    </c:title>
    <c:autoTitleDeleted val="0"/>
    <c:plotArea>
      <c:layout>
        <c:manualLayout>
          <c:layoutTarget val="inner"/>
          <c:xMode val="edge"/>
          <c:yMode val="edge"/>
          <c:x val="7.8615901757219622E-2"/>
          <c:y val="0.23347320294640594"/>
          <c:w val="0.71316097633544795"/>
          <c:h val="0.74027940055880193"/>
        </c:manualLayout>
      </c:layout>
      <c:lineChart>
        <c:grouping val="standard"/>
        <c:varyColors val="0"/>
        <c:ser>
          <c:idx val="0"/>
          <c:order val="0"/>
          <c:tx>
            <c:strRef>
              <c:f>Φύλλο3!$G$8</c:f>
              <c:strCache>
                <c:ptCount val="1"/>
                <c:pt idx="0">
                  <c:v>ΙΝΕΜΥ</c:v>
                </c:pt>
              </c:strCache>
            </c:strRef>
          </c:tx>
          <c:marker>
            <c:symbol val="none"/>
          </c:marker>
          <c:dLbls>
            <c:dLbl>
              <c:idx val="2"/>
              <c:layout>
                <c:manualLayout>
                  <c:x val="1.9793072424651437E-2"/>
                  <c:y val="2.14477211796246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Φύλλο3!$F$9:$F$12</c:f>
              <c:numCache>
                <c:formatCode>General</c:formatCode>
                <c:ptCount val="4"/>
                <c:pt idx="0">
                  <c:v>2015</c:v>
                </c:pt>
                <c:pt idx="1">
                  <c:v>2016</c:v>
                </c:pt>
                <c:pt idx="2">
                  <c:v>2017</c:v>
                </c:pt>
              </c:numCache>
            </c:numRef>
          </c:cat>
          <c:val>
            <c:numRef>
              <c:f>Φύλλο3!$G$9:$G$12</c:f>
              <c:numCache>
                <c:formatCode>0.0%</c:formatCode>
                <c:ptCount val="4"/>
                <c:pt idx="0">
                  <c:v>-0.126</c:v>
                </c:pt>
                <c:pt idx="1">
                  <c:v>-9.5000000000000001E-2</c:v>
                </c:pt>
                <c:pt idx="2">
                  <c:v>-0.03</c:v>
                </c:pt>
              </c:numCache>
            </c:numRef>
          </c:val>
          <c:smooth val="0"/>
        </c:ser>
        <c:ser>
          <c:idx val="1"/>
          <c:order val="1"/>
          <c:tx>
            <c:strRef>
              <c:f>Φύλλο3!$H$8</c:f>
              <c:strCache>
                <c:ptCount val="1"/>
                <c:pt idx="0">
                  <c:v>ΔΚΕ ΕΛΣΤΑΤ</c:v>
                </c:pt>
              </c:strCache>
            </c:strRef>
          </c:tx>
          <c:marker>
            <c:symbol val="none"/>
          </c:marker>
          <c:dLbls>
            <c:spPr>
              <a:noFill/>
              <a:ln>
                <a:noFill/>
              </a:ln>
              <a:effectLst/>
            </c:spPr>
            <c:txPr>
              <a:bodyPr/>
              <a:lstStyle/>
              <a:p>
                <a:pPr>
                  <a:defRPr sz="1000" b="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Φύλλο3!$F$9:$F$12</c:f>
              <c:numCache>
                <c:formatCode>General</c:formatCode>
                <c:ptCount val="4"/>
                <c:pt idx="0">
                  <c:v>2015</c:v>
                </c:pt>
                <c:pt idx="1">
                  <c:v>2016</c:v>
                </c:pt>
                <c:pt idx="2">
                  <c:v>2017</c:v>
                </c:pt>
              </c:numCache>
            </c:numRef>
          </c:cat>
          <c:val>
            <c:numRef>
              <c:f>Φύλλο3!$H$9:$H$12</c:f>
              <c:numCache>
                <c:formatCode>0.0%</c:formatCode>
                <c:ptCount val="4"/>
                <c:pt idx="0">
                  <c:v>-6.0999999999999999E-2</c:v>
                </c:pt>
                <c:pt idx="1">
                  <c:v>9.5000000000000001E-2</c:v>
                </c:pt>
                <c:pt idx="2">
                  <c:v>3.5000000000000003E-2</c:v>
                </c:pt>
              </c:numCache>
            </c:numRef>
          </c:val>
          <c:smooth val="0"/>
        </c:ser>
        <c:dLbls>
          <c:showLegendKey val="0"/>
          <c:showVal val="0"/>
          <c:showCatName val="0"/>
          <c:showSerName val="0"/>
          <c:showPercent val="0"/>
          <c:showBubbleSize val="0"/>
        </c:dLbls>
        <c:smooth val="0"/>
        <c:axId val="545545712"/>
        <c:axId val="545533560"/>
      </c:lineChart>
      <c:catAx>
        <c:axId val="545545712"/>
        <c:scaling>
          <c:orientation val="minMax"/>
        </c:scaling>
        <c:delete val="0"/>
        <c:axPos val="b"/>
        <c:numFmt formatCode="General" sourceLinked="1"/>
        <c:majorTickMark val="none"/>
        <c:minorTickMark val="none"/>
        <c:tickLblPos val="nextTo"/>
        <c:txPr>
          <a:bodyPr/>
          <a:lstStyle/>
          <a:p>
            <a:pPr>
              <a:defRPr sz="1100" b="1"/>
            </a:pPr>
            <a:endParaRPr lang="el-GR"/>
          </a:p>
        </c:txPr>
        <c:crossAx val="545533560"/>
        <c:crosses val="autoZero"/>
        <c:auto val="1"/>
        <c:lblAlgn val="ctr"/>
        <c:lblOffset val="100"/>
        <c:noMultiLvlLbl val="0"/>
      </c:catAx>
      <c:valAx>
        <c:axId val="545533560"/>
        <c:scaling>
          <c:orientation val="minMax"/>
        </c:scaling>
        <c:delete val="0"/>
        <c:axPos val="l"/>
        <c:majorGridlines/>
        <c:numFmt formatCode="0.0%" sourceLinked="1"/>
        <c:majorTickMark val="none"/>
        <c:minorTickMark val="none"/>
        <c:tickLblPos val="nextTo"/>
        <c:crossAx val="5455457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Διάγραμμα 1</a:t>
            </a:r>
            <a:r>
              <a:rPr lang="en-US" sz="1200"/>
              <a:t>:</a:t>
            </a:r>
            <a:r>
              <a:rPr lang="en-US" sz="1200" baseline="0"/>
              <a:t> </a:t>
            </a:r>
            <a:r>
              <a:rPr lang="el-GR" sz="1200"/>
              <a:t>Ποσοστό έκπτωσης κατά την περίοδο των θερινών </a:t>
            </a:r>
            <a:r>
              <a:rPr lang="el-GR" sz="1200" baseline="0"/>
              <a:t>εκπτώσεων του 201</a:t>
            </a:r>
            <a:r>
              <a:rPr lang="en-GB" sz="1200" baseline="0"/>
              <a:t>8</a:t>
            </a:r>
            <a:endParaRPr lang="el-GR"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Sheet1!$B$7:$B$11</c:f>
              <c:strCache>
                <c:ptCount val="5"/>
                <c:pt idx="0">
                  <c:v>Έως 10%</c:v>
                </c:pt>
                <c:pt idx="1">
                  <c:v>11%-20%</c:v>
                </c:pt>
                <c:pt idx="2">
                  <c:v>21-40%</c:v>
                </c:pt>
                <c:pt idx="3">
                  <c:v>41%-50%</c:v>
                </c:pt>
                <c:pt idx="4">
                  <c:v>50% και άνω</c:v>
                </c:pt>
              </c:strCache>
            </c:strRef>
          </c:cat>
          <c:val>
            <c:numRef>
              <c:f>Sheet1!$E$7:$E$11</c:f>
              <c:numCache>
                <c:formatCode>####.00</c:formatCode>
                <c:ptCount val="5"/>
                <c:pt idx="0">
                  <c:v>9.3896713615023483E-2</c:v>
                </c:pt>
                <c:pt idx="1">
                  <c:v>0.17370892018779344</c:v>
                </c:pt>
                <c:pt idx="2">
                  <c:v>0.4178403755868545</c:v>
                </c:pt>
                <c:pt idx="3">
                  <c:v>0.18309859154929575</c:v>
                </c:pt>
                <c:pt idx="4">
                  <c:v>0.12206572769953052</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Διάγραμμα 2</a:t>
            </a:r>
            <a:r>
              <a:rPr lang="en-US" sz="1200"/>
              <a:t>: </a:t>
            </a:r>
            <a:r>
              <a:rPr lang="el-GR" sz="1200"/>
              <a:t>Οι πωλήσεις στις θερινές εκπτώσεις του 201</a:t>
            </a:r>
            <a:r>
              <a:rPr lang="en-GB" sz="1200"/>
              <a:t>8</a:t>
            </a:r>
            <a:r>
              <a:rPr lang="el-GR" sz="1200"/>
              <a:t> συγκριτικά με το 201</a:t>
            </a:r>
            <a:r>
              <a:rPr lang="en-GB" sz="1200"/>
              <a:t>7</a:t>
            </a:r>
            <a:endParaRPr lang="el-GR"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3"/>
            <c:bubble3D val="0"/>
            <c:spPr>
              <a:solidFill>
                <a:sysClr val="window" lastClr="FFFFFF">
                  <a:lumMod val="75000"/>
                </a:sysClr>
              </a:solidFill>
            </c:spPr>
          </c:dPt>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Sheet1!$B$29:$B$32</c:f>
              <c:strCache>
                <c:ptCount val="4"/>
                <c:pt idx="0">
                  <c:v>Καλύτερα από το 2017</c:v>
                </c:pt>
                <c:pt idx="1">
                  <c:v>Χειρότερα από το 2017</c:v>
                </c:pt>
                <c:pt idx="2">
                  <c:v>Στα ίδια επίπεδα</c:v>
                </c:pt>
                <c:pt idx="3">
                  <c:v>ΔΑ</c:v>
                </c:pt>
              </c:strCache>
            </c:strRef>
          </c:cat>
          <c:val>
            <c:numRef>
              <c:f>Sheet1!$D$29:$D$32</c:f>
              <c:numCache>
                <c:formatCode>####.00</c:formatCode>
                <c:ptCount val="4"/>
                <c:pt idx="0">
                  <c:v>0.107981220657277</c:v>
                </c:pt>
                <c:pt idx="1">
                  <c:v>0.59624413145539901</c:v>
                </c:pt>
                <c:pt idx="2">
                  <c:v>0.27230046948356806</c:v>
                </c:pt>
                <c:pt idx="3">
                  <c:v>2.3474178403755871E-2</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Διάγραμμα 3</a:t>
            </a:r>
            <a:r>
              <a:rPr lang="en-US" sz="1200"/>
              <a:t>: </a:t>
            </a:r>
            <a:r>
              <a:rPr lang="el-GR" sz="1200"/>
              <a:t>Καλύτερη περίοδος</a:t>
            </a:r>
            <a:r>
              <a:rPr lang="el-GR" sz="1200" baseline="0"/>
              <a:t> των εκπτώσεων από άποψη αγοραστικής κίνησης</a:t>
            </a:r>
            <a:endParaRPr lang="el-GR"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4"/>
            <c:bubble3D val="0"/>
            <c:spPr>
              <a:solidFill>
                <a:schemeClr val="bg1">
                  <a:lumMod val="75000"/>
                </a:schemeClr>
              </a:solidFill>
            </c:spPr>
          </c:dPt>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Sheet1!$B$72:$B$76</c:f>
              <c:strCache>
                <c:ptCount val="5"/>
                <c:pt idx="0">
                  <c:v>9/7έως 31/7</c:v>
                </c:pt>
                <c:pt idx="1">
                  <c:v>1/8 έως 15/8</c:v>
                </c:pt>
                <c:pt idx="2">
                  <c:v>16/8 έως 31/8</c:v>
                </c:pt>
                <c:pt idx="3">
                  <c:v>Δεν υπήρχε διαφορά</c:v>
                </c:pt>
                <c:pt idx="4">
                  <c:v>ΔΑ</c:v>
                </c:pt>
              </c:strCache>
            </c:strRef>
          </c:cat>
          <c:val>
            <c:numRef>
              <c:f>Sheet1!$D$72:$D$76</c:f>
              <c:numCache>
                <c:formatCode>####.00</c:formatCode>
                <c:ptCount val="5"/>
                <c:pt idx="0">
                  <c:v>0.43661971830985913</c:v>
                </c:pt>
                <c:pt idx="1">
                  <c:v>0.28638497652582162</c:v>
                </c:pt>
                <c:pt idx="2">
                  <c:v>0.12676056338028169</c:v>
                </c:pt>
                <c:pt idx="3">
                  <c:v>0.13615023474178403</c:v>
                </c:pt>
                <c:pt idx="4">
                  <c:v>1.408450704225352E-2</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200"/>
              <a:t>Διάγραμμα 4</a:t>
            </a:r>
            <a:r>
              <a:rPr lang="en-US" sz="1200" baseline="0"/>
              <a:t>:</a:t>
            </a:r>
            <a:r>
              <a:rPr lang="el-GR" sz="1200" baseline="0"/>
              <a:t> </a:t>
            </a:r>
            <a:r>
              <a:rPr lang="el-GR" sz="1200"/>
              <a:t>Αν οι πελάτες κατά την περίοδο των εκπτώσεων χρησιμοποίησαν κυρίως για τις αγορές τους πιστωτικές κάρτες ή μετρητά</a:t>
            </a:r>
          </a:p>
        </c:rich>
      </c:tx>
      <c:layout>
        <c:manualLayout>
          <c:xMode val="edge"/>
          <c:yMode val="edge"/>
          <c:x val="0.11360187414589705"/>
          <c:y val="4.000000000000002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Sheet1!$B$83:$B$85</c:f>
              <c:strCache>
                <c:ptCount val="3"/>
                <c:pt idx="0">
                  <c:v>Πιστωτικές κάρτες </c:v>
                </c:pt>
                <c:pt idx="1">
                  <c:v>Μετρητά </c:v>
                </c:pt>
                <c:pt idx="2">
                  <c:v>Και τα δύο</c:v>
                </c:pt>
              </c:strCache>
            </c:strRef>
          </c:cat>
          <c:val>
            <c:numRef>
              <c:f>Sheet1!$E$83:$E$85</c:f>
              <c:numCache>
                <c:formatCode>####.00</c:formatCode>
                <c:ptCount val="3"/>
                <c:pt idx="0">
                  <c:v>0.48356807511737088</c:v>
                </c:pt>
                <c:pt idx="1">
                  <c:v>0.18309859154929575</c:v>
                </c:pt>
                <c:pt idx="2">
                  <c:v>0.33333333333333337</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Διάγραμμα 5</a:t>
            </a:r>
            <a:r>
              <a:rPr lang="en-US" sz="1200"/>
              <a:t>: </a:t>
            </a:r>
            <a:r>
              <a:rPr lang="el-GR" sz="1200"/>
              <a:t>Πώς επηρέασε το άνοιγμα την Κυριακή 15 Ιουλίου, στον συνολικό τζίρο της εκπτωτικής περιόδου</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Sheet1!$B$107:$B$109</c:f>
              <c:strCache>
                <c:ptCount val="3"/>
                <c:pt idx="0">
                  <c:v>Θετικά</c:v>
                </c:pt>
                <c:pt idx="1">
                  <c:v>Αρνητικά</c:v>
                </c:pt>
                <c:pt idx="2">
                  <c:v>Δεν επηρέασε</c:v>
                </c:pt>
              </c:strCache>
            </c:strRef>
          </c:cat>
          <c:val>
            <c:numRef>
              <c:f>Sheet1!$D$107:$D$109</c:f>
              <c:numCache>
                <c:formatCode>####.00</c:formatCode>
                <c:ptCount val="3"/>
                <c:pt idx="0">
                  <c:v>3.7735849056603772E-2</c:v>
                </c:pt>
                <c:pt idx="1">
                  <c:v>0.47169811320754718</c:v>
                </c:pt>
                <c:pt idx="2">
                  <c:v>0.49056603773584906</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Διάγραμμα</a:t>
            </a:r>
            <a:r>
              <a:rPr lang="el-GR" sz="1200" baseline="0"/>
              <a:t> 6</a:t>
            </a:r>
            <a:r>
              <a:rPr lang="en-US" sz="1200" baseline="0"/>
              <a:t>: </a:t>
            </a:r>
            <a:r>
              <a:rPr lang="el-GR" sz="1200"/>
              <a:t>Πώς καλύπτουν την ανάγκη απασχόλησης προσωπικού για την λειτουργία του καταστήματος την Κυριακή</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Sheet1!$B$120:$B$121</c:f>
              <c:strCache>
                <c:ptCount val="2"/>
                <c:pt idx="0">
                  <c:v>Έχει επεκταθεί το ωράριο εργασίας των ήδη υπαρχόντων υπαλλήλων</c:v>
                </c:pt>
                <c:pt idx="1">
                  <c:v>Έχω επωμιστεί προσωπικά την κάλυψη της ανάγκης</c:v>
                </c:pt>
              </c:strCache>
            </c:strRef>
          </c:cat>
          <c:val>
            <c:numRef>
              <c:f>Sheet1!$E$120:$E$121</c:f>
              <c:numCache>
                <c:formatCode>####.00</c:formatCode>
                <c:ptCount val="2"/>
                <c:pt idx="0">
                  <c:v>0.22641509433962262</c:v>
                </c:pt>
                <c:pt idx="1">
                  <c:v>0.7735849056603773</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Διάγραμμα 7</a:t>
            </a:r>
            <a:r>
              <a:rPr lang="en-US" sz="1200"/>
              <a:t>: </a:t>
            </a:r>
            <a:r>
              <a:rPr lang="el-GR" sz="1200"/>
              <a:t>Σε τι βαθμό έχει συμβάλει στην αύξηση της επισκεψιμότητας του καταστήματος το άνοιγμα τις Κυριακές</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Sheet1!$B$152:$B$155</c:f>
              <c:strCache>
                <c:ptCount val="4"/>
                <c:pt idx="0">
                  <c:v>Πάρα πολύ</c:v>
                </c:pt>
                <c:pt idx="1">
                  <c:v>Πολύ</c:v>
                </c:pt>
                <c:pt idx="2">
                  <c:v>Λίγο</c:v>
                </c:pt>
                <c:pt idx="3">
                  <c:v>Καθόλου</c:v>
                </c:pt>
              </c:strCache>
            </c:strRef>
          </c:cat>
          <c:val>
            <c:numRef>
              <c:f>Sheet1!$E$152:$E$155</c:f>
              <c:numCache>
                <c:formatCode>####.00</c:formatCode>
                <c:ptCount val="4"/>
                <c:pt idx="0" formatCode="####.0">
                  <c:v>0</c:v>
                </c:pt>
                <c:pt idx="1">
                  <c:v>5.6603773584905655E-2</c:v>
                </c:pt>
                <c:pt idx="2">
                  <c:v>0.339622641509434</c:v>
                </c:pt>
                <c:pt idx="3">
                  <c:v>0.60377358490566035</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9E9E8-EF39-4930-80E7-381B558E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1530</Words>
  <Characters>8267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kfilippou</dc:creator>
  <cp:lastModifiedBy>Anna Theodorou</cp:lastModifiedBy>
  <cp:revision>6</cp:revision>
  <cp:lastPrinted>2017-09-04T08:43:00Z</cp:lastPrinted>
  <dcterms:created xsi:type="dcterms:W3CDTF">2018-08-30T10:45:00Z</dcterms:created>
  <dcterms:modified xsi:type="dcterms:W3CDTF">2018-08-30T12:16:00Z</dcterms:modified>
</cp:coreProperties>
</file>