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A8" w:rsidRDefault="00A625A8" w:rsidP="00A625A8">
      <w:pPr>
        <w:jc w:val="center"/>
      </w:pPr>
      <w:r w:rsidRPr="00727D28">
        <w:rPr>
          <w:b/>
          <w:bCs/>
          <w:noProof/>
          <w:lang w:eastAsia="el-GR"/>
        </w:rPr>
        <w:drawing>
          <wp:inline distT="0" distB="0" distL="0" distR="0">
            <wp:extent cx="2784648" cy="648000"/>
            <wp:effectExtent l="0" t="0" r="0" b="0"/>
            <wp:docPr id="4" name="Εικόνα 4" descr="C:\Users\kliok\Desktop\TEL-logo-esee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iok\Desktop\TEL-logo-esee-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4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A8" w:rsidRDefault="00A625A8" w:rsidP="00A625A8"/>
    <w:p w:rsidR="00C15F29" w:rsidRPr="00C40D39" w:rsidRDefault="00A625A8" w:rsidP="008D489F">
      <w:pPr>
        <w:tabs>
          <w:tab w:val="left" w:pos="478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D39">
        <w:rPr>
          <w:rFonts w:ascii="Times New Roman" w:eastAsia="Calibri" w:hAnsi="Times New Roman" w:cs="Times New Roman"/>
          <w:sz w:val="24"/>
          <w:szCs w:val="24"/>
        </w:rPr>
        <w:t xml:space="preserve">Αθήνα, </w:t>
      </w:r>
      <w:r w:rsidR="008D489F" w:rsidRPr="00C40D39">
        <w:rPr>
          <w:rFonts w:ascii="Times New Roman" w:eastAsia="Calibri" w:hAnsi="Times New Roman" w:cs="Times New Roman"/>
          <w:sz w:val="24"/>
          <w:szCs w:val="24"/>
        </w:rPr>
        <w:t>1</w:t>
      </w:r>
      <w:r w:rsidR="00C40D39" w:rsidRPr="00C40D39">
        <w:rPr>
          <w:rFonts w:ascii="Times New Roman" w:eastAsia="Calibri" w:hAnsi="Times New Roman" w:cs="Times New Roman"/>
          <w:sz w:val="24"/>
          <w:szCs w:val="24"/>
        </w:rPr>
        <w:t>4</w:t>
      </w:r>
      <w:r w:rsidRPr="00C40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89F" w:rsidRPr="00C40D39">
        <w:rPr>
          <w:rFonts w:ascii="Times New Roman" w:eastAsia="Calibri" w:hAnsi="Times New Roman" w:cs="Times New Roman"/>
          <w:sz w:val="24"/>
          <w:szCs w:val="24"/>
        </w:rPr>
        <w:t>Νοεμβρίου</w:t>
      </w:r>
      <w:r w:rsidRPr="00C40D39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:rsidR="008817B5" w:rsidRPr="00C40D39" w:rsidRDefault="008817B5" w:rsidP="00881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17B5" w:rsidRPr="00C40D39" w:rsidRDefault="008817B5" w:rsidP="008817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D39">
        <w:rPr>
          <w:rFonts w:ascii="Times New Roman" w:hAnsi="Times New Roman" w:cs="Times New Roman"/>
          <w:sz w:val="24"/>
          <w:szCs w:val="24"/>
          <w:u w:val="single"/>
        </w:rPr>
        <w:t>ΔΕΛΤΙΟ ΤΥΠΟΥ</w:t>
      </w:r>
    </w:p>
    <w:p w:rsidR="0033772D" w:rsidRPr="00C40D39" w:rsidRDefault="008817B5" w:rsidP="00EE5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D39">
        <w:rPr>
          <w:rFonts w:ascii="Times New Roman" w:hAnsi="Times New Roman" w:cs="Times New Roman"/>
          <w:b/>
          <w:sz w:val="24"/>
          <w:szCs w:val="24"/>
        </w:rPr>
        <w:t>«</w:t>
      </w:r>
      <w:r w:rsidR="00EE5E3E" w:rsidRPr="00C40D39">
        <w:rPr>
          <w:rFonts w:ascii="Times New Roman" w:hAnsi="Times New Roman" w:cs="Times New Roman"/>
          <w:b/>
          <w:sz w:val="24"/>
          <w:szCs w:val="24"/>
        </w:rPr>
        <w:t>Ενδιάμεσες εκπτώσεις: Ένα αμφιλεγόμενο μέτρο</w:t>
      </w:r>
      <w:r w:rsidRPr="00C40D39">
        <w:rPr>
          <w:rFonts w:ascii="Times New Roman" w:hAnsi="Times New Roman" w:cs="Times New Roman"/>
          <w:b/>
          <w:sz w:val="24"/>
          <w:szCs w:val="24"/>
        </w:rPr>
        <w:t>»</w:t>
      </w:r>
    </w:p>
    <w:p w:rsidR="00E65B6B" w:rsidRPr="00C40D39" w:rsidRDefault="008817B5" w:rsidP="0033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D39">
        <w:rPr>
          <w:rFonts w:ascii="Times New Roman" w:hAnsi="Times New Roman" w:cs="Times New Roman"/>
          <w:sz w:val="24"/>
          <w:szCs w:val="24"/>
        </w:rPr>
        <w:t>Το ΙΝΕΜΥ-ΕΣΕΕ πραγματοποίησε την περιοδική έρευνα για την κίνηση της αγοράς</w:t>
      </w:r>
      <w:r w:rsidR="00777B5C" w:rsidRPr="00C40D39">
        <w:rPr>
          <w:rFonts w:ascii="Times New Roman" w:hAnsi="Times New Roman" w:cs="Times New Roman"/>
          <w:sz w:val="24"/>
          <w:szCs w:val="24"/>
        </w:rPr>
        <w:t xml:space="preserve"> κατά την περίοδο των ενδιάμεσων εκπτώσεων του Νοεμβρίου</w:t>
      </w:r>
      <w:r w:rsidRPr="00C40D39">
        <w:rPr>
          <w:rFonts w:ascii="Times New Roman" w:hAnsi="Times New Roman" w:cs="Times New Roman"/>
          <w:sz w:val="24"/>
          <w:szCs w:val="24"/>
        </w:rPr>
        <w:t xml:space="preserve">. </w:t>
      </w:r>
      <w:r w:rsidR="0033772D" w:rsidRPr="00C40D39">
        <w:rPr>
          <w:rFonts w:ascii="Times New Roman" w:hAnsi="Times New Roman" w:cs="Times New Roman"/>
          <w:sz w:val="24"/>
          <w:szCs w:val="24"/>
        </w:rPr>
        <w:t xml:space="preserve">Η έρευνα ήταν τηλεφωνική με χρήση δομημένου ερωτηματολογίου σε δείγμα </w:t>
      </w:r>
      <w:r w:rsidR="00EE5E3E" w:rsidRPr="00C40D39">
        <w:rPr>
          <w:rFonts w:ascii="Times New Roman" w:hAnsi="Times New Roman" w:cs="Times New Roman"/>
          <w:sz w:val="24"/>
          <w:szCs w:val="24"/>
        </w:rPr>
        <w:t>150</w:t>
      </w:r>
      <w:r w:rsidR="0033772D" w:rsidRPr="00C40D39">
        <w:rPr>
          <w:rFonts w:ascii="Times New Roman" w:hAnsi="Times New Roman" w:cs="Times New Roman"/>
          <w:sz w:val="24"/>
          <w:szCs w:val="24"/>
        </w:rPr>
        <w:t xml:space="preserve"> επιχειρήσεων, εφαρμόζοντας στρωματοποιημένη δειγματοληψία σε δύο στάδια, σε εμπορικές αγορές αστικών κέντρων της χώρας. Τ</w:t>
      </w:r>
      <w:r w:rsidR="00E65B6B" w:rsidRPr="00C40D39">
        <w:rPr>
          <w:rFonts w:ascii="Times New Roman" w:hAnsi="Times New Roman" w:cs="Times New Roman"/>
          <w:sz w:val="24"/>
          <w:szCs w:val="24"/>
        </w:rPr>
        <w:t xml:space="preserve">α αποτελέσματα της έρευνας </w:t>
      </w:r>
      <w:r w:rsidR="00A82C64">
        <w:rPr>
          <w:rFonts w:ascii="Times New Roman" w:hAnsi="Times New Roman" w:cs="Times New Roman"/>
          <w:sz w:val="24"/>
          <w:szCs w:val="24"/>
        </w:rPr>
        <w:t>δείχνουν μια μεσοσταθμική μείωση κατά 7%  συγκριτικά με πέρσι</w:t>
      </w:r>
      <w:bookmarkStart w:id="0" w:name="_GoBack"/>
      <w:bookmarkEnd w:id="0"/>
      <w:r w:rsidR="00A82C64">
        <w:rPr>
          <w:rFonts w:ascii="Times New Roman" w:hAnsi="Times New Roman" w:cs="Times New Roman"/>
          <w:sz w:val="24"/>
          <w:szCs w:val="24"/>
        </w:rPr>
        <w:t xml:space="preserve"> και </w:t>
      </w:r>
      <w:r w:rsidR="00E65B6B" w:rsidRPr="00C40D39">
        <w:rPr>
          <w:rFonts w:ascii="Times New Roman" w:hAnsi="Times New Roman" w:cs="Times New Roman"/>
          <w:sz w:val="24"/>
          <w:szCs w:val="24"/>
        </w:rPr>
        <w:t xml:space="preserve">συνοψίζονται στα εξής </w:t>
      </w:r>
      <w:r w:rsidR="00610ABE">
        <w:rPr>
          <w:rFonts w:ascii="Times New Roman" w:hAnsi="Times New Roman" w:cs="Times New Roman"/>
          <w:sz w:val="24"/>
          <w:szCs w:val="24"/>
        </w:rPr>
        <w:t>έξη</w:t>
      </w:r>
      <w:r w:rsidR="00E65B6B" w:rsidRPr="00C40D39">
        <w:rPr>
          <w:rFonts w:ascii="Times New Roman" w:hAnsi="Times New Roman" w:cs="Times New Roman"/>
          <w:sz w:val="24"/>
          <w:szCs w:val="24"/>
        </w:rPr>
        <w:t xml:space="preserve"> σημεία:</w:t>
      </w:r>
    </w:p>
    <w:p w:rsidR="00BE409D" w:rsidRPr="00C40D39" w:rsidRDefault="00BE409D" w:rsidP="0033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9D" w:rsidRPr="00C40D39" w:rsidRDefault="00BE409D" w:rsidP="00ED39C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>Το 85%  των επιχειρήσεων συμμετείχε στις ενδιάμεσες εκπτώσεις, ποσοστό αυξημένο σε σύγκριση με το Νοέμβριο του 2017 (80%).</w:t>
      </w:r>
    </w:p>
    <w:p w:rsidR="00BE409D" w:rsidRPr="00C40D39" w:rsidRDefault="00BE409D" w:rsidP="00ED39C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>Οι περισσότε</w:t>
      </w:r>
      <w:r w:rsidR="00F85E08" w:rsidRPr="00C40D39">
        <w:rPr>
          <w:rFonts w:ascii="Times New Roman" w:hAnsi="Times New Roman" w:cs="Times New Roman"/>
          <w:sz w:val="24"/>
          <w:szCs w:val="24"/>
          <w:lang w:val="el-GR"/>
        </w:rPr>
        <w:t>ρες επιχειρήσεις (47%) κατέγραψαν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40D39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χαμηλότερες πωλήσεις </w:t>
      </w:r>
      <w:r w:rsidR="00F85E08" w:rsidRPr="00C40D39">
        <w:rPr>
          <w:rFonts w:ascii="Times New Roman" w:hAnsi="Times New Roman" w:cs="Times New Roman"/>
          <w:sz w:val="24"/>
          <w:szCs w:val="24"/>
          <w:lang w:val="el-GR"/>
        </w:rPr>
        <w:t>σε σύγκριση με την αντίστοιχη περσυνή περίοδο</w:t>
      </w:r>
      <w:r w:rsidR="00EE5E3E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, ποσοστό σημαντικά 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μεγαλύτερο σε σύγκριση με την αντίστοιχη εκπτωτική περίοδο του προηγούμενου έτους, (37% το 2017). </w:t>
      </w:r>
      <w:r w:rsidR="00F50602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Βέβαια </w:t>
      </w:r>
      <w:r w:rsidR="00EE5E3E" w:rsidRPr="00C40D39">
        <w:rPr>
          <w:rFonts w:ascii="Times New Roman" w:hAnsi="Times New Roman" w:cs="Times New Roman"/>
          <w:sz w:val="24"/>
          <w:szCs w:val="24"/>
          <w:lang w:val="el-GR"/>
        </w:rPr>
        <w:t>τα τελευταία δύο έτη, αν και όχι η πλειοψηφία, σημαντικό μέρος των επιχειρήσεων βελτιώνει ή σταθεροποιεί τις πωλήσεις του την ενδιάμεση εκπτωτική περίοδο του Νοεμβρίου</w:t>
      </w:r>
      <w:r w:rsidR="002805EB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(Πίνακας 1)</w:t>
      </w:r>
      <w:r w:rsidR="002805EB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A57AAE" w:rsidRPr="00A57AAE" w:rsidRDefault="00A57AAE" w:rsidP="00A57AAE">
      <w:pPr>
        <w:ind w:left="360"/>
        <w:rPr>
          <w:b/>
          <w:sz w:val="26"/>
          <w:szCs w:val="26"/>
          <w:u w:val="single"/>
        </w:rPr>
      </w:pPr>
    </w:p>
    <w:tbl>
      <w:tblPr>
        <w:tblStyle w:val="-11"/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560"/>
        <w:gridCol w:w="1559"/>
        <w:gridCol w:w="1417"/>
      </w:tblGrid>
      <w:tr w:rsidR="00A57AAE" w:rsidRPr="00DB5178" w:rsidTr="00A57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noWrap/>
            <w:hideMark/>
          </w:tcPr>
          <w:p w:rsidR="00A57AAE" w:rsidRPr="00A52AB7" w:rsidRDefault="00EE5E3E" w:rsidP="00A57AAE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  <w:t>ΠΙΝΑΚΑΣ</w:t>
            </w:r>
            <w:r w:rsidR="00A57AAE"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  <w:t xml:space="preserve"> 1</w:t>
            </w:r>
            <w:r w:rsidR="00A57AAE" w:rsidRPr="00A57AAE"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  <w:t xml:space="preserve">: </w:t>
            </w:r>
            <w:r w:rsidR="00A57AAE" w:rsidRPr="00A52AB7"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  <w:t>ΚΙΝΗΣΗ ΤΩΝ ΠΩΛΗΣΕΩΝ ΤΟΥ ΕΚΠΤΩΤΙΚΟΥ ΔΕΚΑΗΜΕΡΟΥ</w:t>
            </w:r>
            <w:r w:rsidR="00F85E08">
              <w:rPr>
                <w:rFonts w:ascii="Calibri" w:eastAsia="Times New Roman" w:hAnsi="Calibri" w:cs="Times New Roman"/>
                <w:bCs w:val="0"/>
                <w:color w:val="000000"/>
                <w:lang w:eastAsia="el-GR"/>
              </w:rPr>
              <w:t xml:space="preserve"> (μεταβολή σε σχέση με το προηγούμενο έτος)</w:t>
            </w:r>
          </w:p>
        </w:tc>
      </w:tr>
      <w:tr w:rsidR="00A57AAE" w:rsidRPr="00DB5178" w:rsidTr="00F8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noWrap/>
            <w:hideMark/>
          </w:tcPr>
          <w:p w:rsidR="00A57AAE" w:rsidRPr="00DB5178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079" w:type="dxa"/>
            <w:gridSpan w:val="5"/>
            <w:noWrap/>
            <w:hideMark/>
          </w:tcPr>
          <w:p w:rsidR="00A57AAE" w:rsidRPr="00DB5178" w:rsidRDefault="00A57AAE" w:rsidP="00F85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ΝΟΕΜΒΡΙΟΣ</w:t>
            </w:r>
          </w:p>
        </w:tc>
      </w:tr>
      <w:tr w:rsidR="00A57AAE" w:rsidRPr="00DB5178" w:rsidTr="00F5060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hideMark/>
          </w:tcPr>
          <w:p w:rsidR="00A57AAE" w:rsidRPr="00DB5178" w:rsidRDefault="00A57AAE" w:rsidP="00A57A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84" w:type="dxa"/>
            <w:noWrap/>
            <w:hideMark/>
          </w:tcPr>
          <w:p w:rsidR="00A57AAE" w:rsidRPr="00DB5178" w:rsidRDefault="00F50602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2013</w:t>
            </w:r>
            <w:r w:rsidR="00F85E0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2014</w:t>
            </w:r>
          </w:p>
        </w:tc>
        <w:tc>
          <w:tcPr>
            <w:tcW w:w="1559" w:type="dxa"/>
            <w:noWrap/>
            <w:hideMark/>
          </w:tcPr>
          <w:p w:rsidR="00A57AAE" w:rsidRPr="00DB5178" w:rsidRDefault="00F50602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2014</w:t>
            </w:r>
            <w:r w:rsidR="00F85E0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2015</w:t>
            </w:r>
          </w:p>
        </w:tc>
        <w:tc>
          <w:tcPr>
            <w:tcW w:w="1560" w:type="dxa"/>
            <w:noWrap/>
            <w:hideMark/>
          </w:tcPr>
          <w:p w:rsidR="00A57AAE" w:rsidRPr="00DB5178" w:rsidRDefault="00F50602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2015</w:t>
            </w:r>
            <w:r w:rsidR="00F85E0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2016</w:t>
            </w:r>
          </w:p>
        </w:tc>
        <w:tc>
          <w:tcPr>
            <w:tcW w:w="1559" w:type="dxa"/>
          </w:tcPr>
          <w:p w:rsidR="00A57AAE" w:rsidRPr="00DB5178" w:rsidRDefault="00F50602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2016</w:t>
            </w:r>
            <w:r w:rsidR="00F85E0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2017</w:t>
            </w:r>
            <w:r w:rsidR="00A57A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17" w:type="dxa"/>
          </w:tcPr>
          <w:p w:rsidR="00A57AAE" w:rsidRPr="00DB5178" w:rsidRDefault="00F50602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2017</w:t>
            </w:r>
            <w:r w:rsidR="00F85E0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2018</w:t>
            </w:r>
          </w:p>
        </w:tc>
      </w:tr>
      <w:tr w:rsidR="00A57AAE" w:rsidRPr="00DB5178" w:rsidTr="00F50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ΚΑΛΥΤΕΡΑ 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19%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14%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11%</w:t>
            </w:r>
          </w:p>
        </w:tc>
      </w:tr>
      <w:tr w:rsidR="00A57AAE" w:rsidRPr="00DB5178" w:rsidTr="00F5060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A57AAE" w:rsidRPr="00DB5178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ΧΕΙΡΟΤΕΡΑ</w:t>
            </w:r>
          </w:p>
        </w:tc>
        <w:tc>
          <w:tcPr>
            <w:tcW w:w="1984" w:type="dxa"/>
            <w:noWrap/>
            <w:hideMark/>
          </w:tcPr>
          <w:p w:rsidR="00A57AAE" w:rsidRPr="00DB5178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37%</w:t>
            </w:r>
          </w:p>
        </w:tc>
        <w:tc>
          <w:tcPr>
            <w:tcW w:w="1559" w:type="dxa"/>
            <w:noWrap/>
            <w:hideMark/>
          </w:tcPr>
          <w:p w:rsidR="00A57AAE" w:rsidRPr="00DB5178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50%</w:t>
            </w:r>
          </w:p>
        </w:tc>
        <w:tc>
          <w:tcPr>
            <w:tcW w:w="1560" w:type="dxa"/>
            <w:noWrap/>
            <w:hideMark/>
          </w:tcPr>
          <w:p w:rsidR="00A57AAE" w:rsidRPr="00DB5178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65%</w:t>
            </w:r>
          </w:p>
        </w:tc>
        <w:tc>
          <w:tcPr>
            <w:tcW w:w="1559" w:type="dxa"/>
          </w:tcPr>
          <w:p w:rsidR="00A57AAE" w:rsidRPr="00DB5178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37%</w:t>
            </w:r>
          </w:p>
        </w:tc>
        <w:tc>
          <w:tcPr>
            <w:tcW w:w="1417" w:type="dxa"/>
          </w:tcPr>
          <w:p w:rsidR="00A57AAE" w:rsidRPr="00DB5178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47%</w:t>
            </w:r>
          </w:p>
        </w:tc>
      </w:tr>
      <w:tr w:rsidR="00A57AAE" w:rsidRPr="00DB5178" w:rsidTr="00F50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ΙΔΙΑ ΕΠΙΠΕΔΑ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40%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B5178">
              <w:rPr>
                <w:rFonts w:ascii="Calibri" w:eastAsia="Times New Roman" w:hAnsi="Calibri" w:cs="Times New Roman"/>
                <w:color w:val="000000"/>
                <w:lang w:eastAsia="el-GR"/>
              </w:rPr>
              <w:t>36%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  <w:r w:rsidR="00EE5E3E">
              <w:rPr>
                <w:rFonts w:ascii="Calibri" w:eastAsia="Times New Roman" w:hAnsi="Calibri" w:cs="Times New Roman"/>
                <w:color w:val="000000"/>
                <w:lang w:eastAsia="el-GR"/>
              </w:rPr>
              <w:t>%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47%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57AAE" w:rsidRPr="00DB5178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34%</w:t>
            </w:r>
          </w:p>
        </w:tc>
      </w:tr>
      <w:tr w:rsidR="00A57AAE" w:rsidRPr="00DB5178" w:rsidTr="00F5060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A57AAE" w:rsidRPr="00DB5178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ΔΑ</w:t>
            </w:r>
          </w:p>
        </w:tc>
        <w:tc>
          <w:tcPr>
            <w:tcW w:w="1984" w:type="dxa"/>
            <w:noWrap/>
            <w:vAlign w:val="bottom"/>
            <w:hideMark/>
          </w:tcPr>
          <w:p w:rsidR="00A57AA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559" w:type="dxa"/>
            <w:noWrap/>
            <w:vAlign w:val="bottom"/>
            <w:hideMark/>
          </w:tcPr>
          <w:p w:rsidR="00A57AA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560" w:type="dxa"/>
            <w:noWrap/>
            <w:vAlign w:val="bottom"/>
            <w:hideMark/>
          </w:tcPr>
          <w:p w:rsidR="00A57AA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559" w:type="dxa"/>
            <w:vAlign w:val="bottom"/>
          </w:tcPr>
          <w:p w:rsidR="00A57AA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417" w:type="dxa"/>
            <w:vAlign w:val="bottom"/>
          </w:tcPr>
          <w:p w:rsidR="00A57AA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</w:tr>
    </w:tbl>
    <w:p w:rsidR="00A57AAE" w:rsidRDefault="00F85E08" w:rsidP="007721A2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D39">
        <w:rPr>
          <w:rFonts w:ascii="Times New Roman" w:hAnsi="Times New Roman" w:cs="Times New Roman"/>
          <w:sz w:val="24"/>
          <w:szCs w:val="24"/>
        </w:rPr>
        <w:t>Στις π</w:t>
      </w:r>
      <w:r w:rsidR="00A57AAE" w:rsidRPr="00C40D39">
        <w:rPr>
          <w:rFonts w:ascii="Times New Roman" w:hAnsi="Times New Roman" w:cs="Times New Roman"/>
          <w:sz w:val="24"/>
          <w:szCs w:val="24"/>
        </w:rPr>
        <w:t>ερισσότερες</w:t>
      </w:r>
      <w:r w:rsidRPr="00C40D39">
        <w:rPr>
          <w:rFonts w:ascii="Times New Roman" w:hAnsi="Times New Roman" w:cs="Times New Roman"/>
          <w:sz w:val="24"/>
          <w:szCs w:val="24"/>
        </w:rPr>
        <w:t xml:space="preserve"> επιχειρήσεις (</w:t>
      </w:r>
      <w:r w:rsidR="00E65B6B" w:rsidRPr="00C40D39">
        <w:rPr>
          <w:rFonts w:ascii="Times New Roman" w:hAnsi="Times New Roman" w:cs="Times New Roman"/>
          <w:sz w:val="24"/>
          <w:szCs w:val="24"/>
        </w:rPr>
        <w:t>6 στις 10</w:t>
      </w:r>
      <w:r w:rsidRPr="00C40D39">
        <w:rPr>
          <w:rFonts w:ascii="Times New Roman" w:hAnsi="Times New Roman" w:cs="Times New Roman"/>
          <w:sz w:val="24"/>
          <w:szCs w:val="24"/>
        </w:rPr>
        <w:t>)</w:t>
      </w:r>
      <w:r w:rsidR="006D4E38" w:rsidRPr="00C40D39">
        <w:rPr>
          <w:rFonts w:ascii="Times New Roman" w:hAnsi="Times New Roman" w:cs="Times New Roman"/>
          <w:sz w:val="24"/>
          <w:szCs w:val="24"/>
        </w:rPr>
        <w:t xml:space="preserve"> </w:t>
      </w:r>
      <w:r w:rsidRPr="00C40D39">
        <w:rPr>
          <w:rFonts w:ascii="Times New Roman" w:hAnsi="Times New Roman" w:cs="Times New Roman"/>
          <w:sz w:val="24"/>
          <w:szCs w:val="24"/>
        </w:rPr>
        <w:t>το ποσοστό έκπτωσης κυμάνθηκε</w:t>
      </w:r>
      <w:r w:rsidR="006D4E38" w:rsidRPr="00C40D39">
        <w:rPr>
          <w:rFonts w:ascii="Times New Roman" w:hAnsi="Times New Roman" w:cs="Times New Roman"/>
          <w:sz w:val="24"/>
          <w:szCs w:val="24"/>
        </w:rPr>
        <w:t xml:space="preserve"> μεταξύ 11% και 40%, ενώ στην πλειοψηφία τους κινήθηκαν μεταξύ (</w:t>
      </w:r>
      <w:r w:rsidR="007721A2" w:rsidRPr="00C40D39">
        <w:rPr>
          <w:rFonts w:ascii="Times New Roman" w:hAnsi="Times New Roman" w:cs="Times New Roman"/>
          <w:sz w:val="24"/>
          <w:szCs w:val="24"/>
        </w:rPr>
        <w:t>11</w:t>
      </w:r>
      <w:r w:rsidR="006D4E38" w:rsidRPr="00C40D39">
        <w:rPr>
          <w:rFonts w:ascii="Times New Roman" w:hAnsi="Times New Roman" w:cs="Times New Roman"/>
          <w:sz w:val="24"/>
          <w:szCs w:val="24"/>
        </w:rPr>
        <w:t>%</w:t>
      </w:r>
      <w:r w:rsidR="007721A2" w:rsidRPr="00C40D39">
        <w:rPr>
          <w:rFonts w:ascii="Times New Roman" w:hAnsi="Times New Roman" w:cs="Times New Roman"/>
          <w:sz w:val="24"/>
          <w:szCs w:val="24"/>
        </w:rPr>
        <w:t xml:space="preserve"> – 20%</w:t>
      </w:r>
      <w:r w:rsidR="006D4E38" w:rsidRPr="00C40D39">
        <w:rPr>
          <w:rFonts w:ascii="Times New Roman" w:hAnsi="Times New Roman" w:cs="Times New Roman"/>
          <w:sz w:val="24"/>
          <w:szCs w:val="24"/>
        </w:rPr>
        <w:t>)</w:t>
      </w:r>
      <w:r w:rsidR="007721A2" w:rsidRPr="00C40D39">
        <w:rPr>
          <w:rFonts w:ascii="Times New Roman" w:hAnsi="Times New Roman" w:cs="Times New Roman"/>
          <w:sz w:val="24"/>
          <w:szCs w:val="24"/>
        </w:rPr>
        <w:t>.</w:t>
      </w:r>
      <w:r w:rsidR="006D4E38" w:rsidRPr="00C40D39">
        <w:rPr>
          <w:rFonts w:ascii="Times New Roman" w:hAnsi="Times New Roman" w:cs="Times New Roman"/>
          <w:sz w:val="24"/>
          <w:szCs w:val="24"/>
        </w:rPr>
        <w:t xml:space="preserve"> Αυτό που χρήζει παρατήρησης είναι η αύξηση του ποσοστού συμμετοχής τους στο θεσμό των ενδιάμεσων εκπτώσεων. Ενώ το 2014 δεν συμμετείχε το 28% το 2018 το ποσοστό αυτό μειώνεται σε 15%.</w:t>
      </w:r>
    </w:p>
    <w:p w:rsidR="00ED39C5" w:rsidRPr="00C40D39" w:rsidRDefault="00ED39C5" w:rsidP="007721A2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7AAE" w:rsidRDefault="00A57AAE" w:rsidP="00A57AAE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802"/>
        <w:gridCol w:w="1130"/>
        <w:gridCol w:w="1113"/>
        <w:gridCol w:w="1113"/>
        <w:gridCol w:w="1182"/>
        <w:gridCol w:w="1182"/>
      </w:tblGrid>
      <w:tr w:rsidR="00A57AAE" w:rsidTr="00A57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6"/>
          </w:tcPr>
          <w:p w:rsidR="00A57AAE" w:rsidRDefault="00EE5E3E" w:rsidP="00A57AAE">
            <w:pPr>
              <w:pStyle w:val="a5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ΠΙΝΑΚΑΣ 2</w:t>
            </w:r>
            <w:r w:rsidRPr="00EE5E3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: </w:t>
            </w:r>
            <w:r w:rsidR="00A57AAE" w:rsidRPr="00A52AB7">
              <w:rPr>
                <w:rFonts w:ascii="Calibri" w:eastAsia="Times New Roman" w:hAnsi="Calibri" w:cs="Times New Roman"/>
                <w:color w:val="000000"/>
                <w:lang w:eastAsia="el-GR"/>
              </w:rPr>
              <w:t>ΠΟΣΟΣΤΟ ΕΚΠΤΩΣΗΣ ΣΤΗΝ ΕΠΙΧΕΙΡΗΣΗ ΚΑΤΑ ΤΗ ΔΙΑΡΚΕΙΑ ΤΩΝ ΕΝΔΙΑΜΕΣΩΝ ΕΚΠΤΩΣΕΩΝ</w:t>
            </w:r>
          </w:p>
        </w:tc>
      </w:tr>
      <w:tr w:rsidR="00A57AAE" w:rsidTr="00A5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Default="00A57AAE" w:rsidP="00A57AAE">
            <w:pPr>
              <w:pStyle w:val="a5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  <w:u w:val="single"/>
              </w:rPr>
            </w:pPr>
          </w:p>
        </w:tc>
        <w:tc>
          <w:tcPr>
            <w:tcW w:w="5720" w:type="dxa"/>
            <w:gridSpan w:val="5"/>
          </w:tcPr>
          <w:p w:rsidR="00A57AAE" w:rsidRPr="00A57AA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57A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ΝΟΕΜΒΡΙΟΣ</w:t>
            </w:r>
          </w:p>
        </w:tc>
      </w:tr>
      <w:tr w:rsidR="00A57AAE" w:rsidTr="00A5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Default="00A57AAE" w:rsidP="00A57AAE">
            <w:pPr>
              <w:pStyle w:val="a5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2014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2015</w:t>
            </w:r>
          </w:p>
        </w:tc>
        <w:tc>
          <w:tcPr>
            <w:tcW w:w="1113" w:type="dxa"/>
          </w:tcPr>
          <w:p w:rsidR="00A57AAE" w:rsidRPr="00777B5C" w:rsidRDefault="00A57AAE" w:rsidP="00A57AA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2016</w:t>
            </w:r>
          </w:p>
        </w:tc>
        <w:tc>
          <w:tcPr>
            <w:tcW w:w="1182" w:type="dxa"/>
          </w:tcPr>
          <w:p w:rsidR="00A57AAE" w:rsidRPr="00777B5C" w:rsidRDefault="00A57AAE" w:rsidP="00A57AA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2017</w:t>
            </w:r>
          </w:p>
        </w:tc>
        <w:tc>
          <w:tcPr>
            <w:tcW w:w="1182" w:type="dxa"/>
          </w:tcPr>
          <w:p w:rsidR="00A57AAE" w:rsidRPr="00777B5C" w:rsidRDefault="00A57AAE" w:rsidP="00A57AA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2018</w:t>
            </w:r>
          </w:p>
        </w:tc>
      </w:tr>
      <w:tr w:rsidR="00A57AAE" w:rsidTr="00A5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8%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14%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5%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12%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9%</w:t>
            </w:r>
          </w:p>
        </w:tc>
      </w:tr>
      <w:tr w:rsidR="00A57AAE" w:rsidTr="00A5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11-20%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33%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33%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35%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33%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35%</w:t>
            </w:r>
          </w:p>
        </w:tc>
      </w:tr>
      <w:tr w:rsidR="00A57AAE" w:rsidTr="00A5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21-40%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23%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17%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30%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18%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30%</w:t>
            </w:r>
          </w:p>
        </w:tc>
      </w:tr>
      <w:tr w:rsidR="00A57AAE" w:rsidTr="00A5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41-50%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6%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7%</w:t>
            </w:r>
          </w:p>
        </w:tc>
      </w:tr>
      <w:tr w:rsidR="00A57AAE" w:rsidTr="00A5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50% και άνω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1%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0%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4%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3%</w:t>
            </w:r>
          </w:p>
        </w:tc>
      </w:tr>
      <w:tr w:rsidR="00A57AAE" w:rsidTr="00A5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57AAE" w:rsidRPr="008D441E" w:rsidRDefault="00A57AAE" w:rsidP="00A57AA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Δεν συμμετέχουν</w:t>
            </w:r>
          </w:p>
        </w:tc>
        <w:tc>
          <w:tcPr>
            <w:tcW w:w="1130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28%</w:t>
            </w:r>
          </w:p>
        </w:tc>
        <w:tc>
          <w:tcPr>
            <w:tcW w:w="1113" w:type="dxa"/>
          </w:tcPr>
          <w:p w:rsidR="00A57AAE" w:rsidRPr="008D441E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lang w:eastAsia="el-GR"/>
              </w:rPr>
              <w:t>31%</w:t>
            </w:r>
          </w:p>
        </w:tc>
        <w:tc>
          <w:tcPr>
            <w:tcW w:w="1113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22%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7706">
              <w:rPr>
                <w:rFonts w:ascii="Calibri" w:eastAsia="Times New Roman" w:hAnsi="Calibri" w:cs="Times New Roman"/>
                <w:color w:val="000000"/>
                <w:lang w:eastAsia="el-GR"/>
              </w:rPr>
              <w:t>28%</w:t>
            </w:r>
          </w:p>
        </w:tc>
        <w:tc>
          <w:tcPr>
            <w:tcW w:w="1182" w:type="dxa"/>
          </w:tcPr>
          <w:p w:rsidR="00A57AAE" w:rsidRPr="00B07706" w:rsidRDefault="00A57AAE" w:rsidP="00A57A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15%</w:t>
            </w:r>
          </w:p>
        </w:tc>
      </w:tr>
    </w:tbl>
    <w:p w:rsidR="00A57AAE" w:rsidRPr="00777B5C" w:rsidRDefault="00A57AAE" w:rsidP="00A57AAE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A57AAE" w:rsidRPr="00C40D39" w:rsidRDefault="00E65B6B" w:rsidP="007721A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>Μία στις δύο επιχειρήσεις (5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>%) πραγματοποίησαν εκπτώσεις στο σύνολο των εμπορευμάτων και το 1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 στο μεγαλύτερο μέρος των νέων παραλαβών.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802"/>
        <w:gridCol w:w="1130"/>
        <w:gridCol w:w="1113"/>
        <w:gridCol w:w="1113"/>
        <w:gridCol w:w="1182"/>
        <w:gridCol w:w="1182"/>
      </w:tblGrid>
      <w:tr w:rsidR="00A96C9E" w:rsidTr="00A96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6"/>
          </w:tcPr>
          <w:p w:rsidR="00A96C9E" w:rsidRDefault="00A96C9E" w:rsidP="00A96C9E">
            <w:pPr>
              <w:pStyle w:val="a5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ΠΙΝΑΚΑΣ 3</w:t>
            </w:r>
            <w:r w:rsidRPr="00EE5E3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ΕΜΠΟΡΕΥΜΑΤΑ ΜΕ ΕΚΠΤΩΣΗ</w:t>
            </w:r>
          </w:p>
        </w:tc>
      </w:tr>
      <w:tr w:rsidR="00A96C9E" w:rsidTr="00A9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96C9E" w:rsidRDefault="00A96C9E" w:rsidP="00A96C9E">
            <w:pPr>
              <w:pStyle w:val="a5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  <w:u w:val="single"/>
              </w:rPr>
            </w:pPr>
          </w:p>
        </w:tc>
        <w:tc>
          <w:tcPr>
            <w:tcW w:w="5720" w:type="dxa"/>
            <w:gridSpan w:val="5"/>
          </w:tcPr>
          <w:p w:rsidR="00A96C9E" w:rsidRPr="00A57AAE" w:rsidRDefault="00A96C9E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57A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ΝΟΕΜΒΡΙΟΣ</w:t>
            </w:r>
          </w:p>
        </w:tc>
      </w:tr>
      <w:tr w:rsidR="00A96C9E" w:rsidTr="00A9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96C9E" w:rsidRDefault="00A96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A96C9E" w:rsidRPr="008D441E" w:rsidRDefault="00A96C9E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2014</w:t>
            </w:r>
          </w:p>
        </w:tc>
        <w:tc>
          <w:tcPr>
            <w:tcW w:w="1113" w:type="dxa"/>
          </w:tcPr>
          <w:p w:rsidR="00A96C9E" w:rsidRPr="008D441E" w:rsidRDefault="00A96C9E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44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2015</w:t>
            </w:r>
          </w:p>
        </w:tc>
        <w:tc>
          <w:tcPr>
            <w:tcW w:w="1113" w:type="dxa"/>
          </w:tcPr>
          <w:p w:rsidR="00A96C9E" w:rsidRPr="00777B5C" w:rsidRDefault="00A96C9E" w:rsidP="00A96C9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2016</w:t>
            </w:r>
          </w:p>
        </w:tc>
        <w:tc>
          <w:tcPr>
            <w:tcW w:w="1182" w:type="dxa"/>
          </w:tcPr>
          <w:p w:rsidR="00A96C9E" w:rsidRPr="00777B5C" w:rsidRDefault="00A96C9E" w:rsidP="00A96C9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2017</w:t>
            </w:r>
          </w:p>
        </w:tc>
        <w:tc>
          <w:tcPr>
            <w:tcW w:w="1182" w:type="dxa"/>
          </w:tcPr>
          <w:p w:rsidR="00A96C9E" w:rsidRPr="00777B5C" w:rsidRDefault="00A96C9E" w:rsidP="00A96C9E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777B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2018</w:t>
            </w:r>
          </w:p>
        </w:tc>
      </w:tr>
      <w:tr w:rsidR="00335EA7" w:rsidTr="0052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335EA7" w:rsidRDefault="00335EA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Στο μεγαλύτερο μέρος των νέων παραλαβών της σεζόν</w:t>
            </w:r>
          </w:p>
        </w:tc>
        <w:tc>
          <w:tcPr>
            <w:tcW w:w="1130" w:type="dxa"/>
            <w:vAlign w:val="bottom"/>
          </w:tcPr>
          <w:p w:rsidR="00335EA7" w:rsidRP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  <w:r w:rsidRPr="00335EA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</w:tcPr>
          <w:p w:rsidR="00335EA7" w:rsidRDefault="00335EA7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:rsidR="00335EA7" w:rsidRPr="00335EA7" w:rsidRDefault="00335EA7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35EA7">
              <w:rPr>
                <w:rFonts w:ascii="Calibri" w:hAnsi="Calibri"/>
                <w:color w:val="000000"/>
              </w:rPr>
              <w:t>64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  <w:vAlign w:val="bottom"/>
          </w:tcPr>
          <w:p w:rsidR="00335EA7" w:rsidRPr="00A96C9E" w:rsidRDefault="00335EA7" w:rsidP="00A96C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96C9E"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</w:tr>
      <w:tr w:rsidR="00335EA7" w:rsidTr="0052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335EA7" w:rsidRDefault="00335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Σε μικρό μέρος των νέων παραλαβών της σεζόν</w:t>
            </w:r>
          </w:p>
        </w:tc>
        <w:tc>
          <w:tcPr>
            <w:tcW w:w="1130" w:type="dxa"/>
            <w:vAlign w:val="bottom"/>
          </w:tcPr>
          <w:p w:rsidR="00335EA7" w:rsidRP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35EA7">
              <w:rPr>
                <w:rFonts w:ascii="Calibri" w:hAnsi="Calibri"/>
                <w:color w:val="000000"/>
              </w:rPr>
              <w:t>2,5%</w:t>
            </w:r>
          </w:p>
        </w:tc>
        <w:tc>
          <w:tcPr>
            <w:tcW w:w="1113" w:type="dxa"/>
          </w:tcPr>
          <w:p w:rsidR="00335EA7" w:rsidRDefault="00335EA7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:rsidR="00335EA7" w:rsidRPr="00335EA7" w:rsidRDefault="00335EA7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35EA7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  <w:vAlign w:val="bottom"/>
          </w:tcPr>
          <w:p w:rsidR="00335EA7" w:rsidRPr="00A96C9E" w:rsidRDefault="00335EA7" w:rsidP="00A96C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96C9E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</w:tr>
      <w:tr w:rsidR="00335EA7" w:rsidTr="0052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335EA7" w:rsidRDefault="00335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Σε συγκεκριμένη κατηγορία προϊόντων</w:t>
            </w:r>
          </w:p>
        </w:tc>
        <w:tc>
          <w:tcPr>
            <w:tcW w:w="1130" w:type="dxa"/>
            <w:vAlign w:val="bottom"/>
          </w:tcPr>
          <w:p w:rsidR="00335EA7" w:rsidRP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Pr="00335EA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</w:tcPr>
          <w:p w:rsidR="00335EA7" w:rsidRDefault="00335EA7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:rsidR="00335EA7" w:rsidRPr="00335EA7" w:rsidRDefault="00335EA7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35EA7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  <w:vAlign w:val="bottom"/>
          </w:tcPr>
          <w:p w:rsidR="00335EA7" w:rsidRPr="00A96C9E" w:rsidRDefault="00335EA7" w:rsidP="00A96C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96C9E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</w:tr>
      <w:tr w:rsidR="00335EA7" w:rsidTr="0052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335EA7" w:rsidRDefault="00335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Κυρίως σε εμπορεύματα stock </w:t>
            </w:r>
          </w:p>
        </w:tc>
        <w:tc>
          <w:tcPr>
            <w:tcW w:w="1130" w:type="dxa"/>
            <w:vAlign w:val="bottom"/>
          </w:tcPr>
          <w:p w:rsidR="00335EA7" w:rsidRP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Pr="00335EA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</w:tcPr>
          <w:p w:rsidR="00335EA7" w:rsidRDefault="00335EA7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:rsidR="00335EA7" w:rsidRPr="00335EA7" w:rsidRDefault="00335EA7" w:rsidP="00A9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35EA7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  <w:vAlign w:val="bottom"/>
          </w:tcPr>
          <w:p w:rsidR="00335EA7" w:rsidRPr="00A96C9E" w:rsidRDefault="00335EA7" w:rsidP="00A96C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96C9E">
              <w:rPr>
                <w:rFonts w:ascii="Calibri" w:hAnsi="Calibri"/>
                <w:color w:val="000000"/>
              </w:rPr>
              <w:t>24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</w:tr>
      <w:tr w:rsidR="00335EA7" w:rsidTr="0052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335EA7" w:rsidRDefault="00335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Σε όλα τα εμπορεύματα</w:t>
            </w:r>
          </w:p>
        </w:tc>
        <w:tc>
          <w:tcPr>
            <w:tcW w:w="1130" w:type="dxa"/>
            <w:vAlign w:val="bottom"/>
          </w:tcPr>
          <w:p w:rsidR="00335EA7" w:rsidRP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Pr="00335EA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13" w:type="dxa"/>
          </w:tcPr>
          <w:p w:rsidR="00335EA7" w:rsidRPr="00335EA7" w:rsidRDefault="00335EA7" w:rsidP="00A9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13" w:type="dxa"/>
            <w:vAlign w:val="bottom"/>
          </w:tcPr>
          <w:p w:rsidR="00335EA7" w:rsidRPr="00A96C9E" w:rsidRDefault="00335EA7" w:rsidP="00A96C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96C9E"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  <w:tc>
          <w:tcPr>
            <w:tcW w:w="1182" w:type="dxa"/>
            <w:vAlign w:val="bottom"/>
          </w:tcPr>
          <w:p w:rsidR="00335EA7" w:rsidRDefault="00335E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</w:tr>
    </w:tbl>
    <w:p w:rsidR="00335EA7" w:rsidRDefault="00335EA7" w:rsidP="00A96C9E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35EA7" w:rsidRPr="00C40D39" w:rsidRDefault="00610ABE" w:rsidP="00335EA7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αντίθεσ</w:t>
      </w:r>
      <w:r w:rsidR="00335EA7" w:rsidRPr="00C40D39">
        <w:rPr>
          <w:rFonts w:ascii="Times New Roman" w:hAnsi="Times New Roman" w:cs="Times New Roman"/>
          <w:sz w:val="24"/>
          <w:szCs w:val="24"/>
        </w:rPr>
        <w:t>η με το ποσοστό της έκπτωσης,</w:t>
      </w:r>
      <w:r>
        <w:rPr>
          <w:rFonts w:ascii="Times New Roman" w:hAnsi="Times New Roman" w:cs="Times New Roman"/>
          <w:sz w:val="24"/>
          <w:szCs w:val="24"/>
        </w:rPr>
        <w:t xml:space="preserve"> όπως φαίνεται από τον Πίνακα 3,</w:t>
      </w:r>
      <w:r w:rsidR="00335EA7" w:rsidRPr="00C40D39">
        <w:rPr>
          <w:rFonts w:ascii="Times New Roman" w:hAnsi="Times New Roman" w:cs="Times New Roman"/>
          <w:sz w:val="24"/>
          <w:szCs w:val="24"/>
        </w:rPr>
        <w:t xml:space="preserve"> το ζήτημα των εκπτωτικών εμπορευμάτων κατά τις ενδιάμεσες εκπτώσεις έχει αλλάξει κατά την διάρκεια εφαρμογής </w:t>
      </w:r>
      <w:r>
        <w:rPr>
          <w:rFonts w:ascii="Times New Roman" w:hAnsi="Times New Roman" w:cs="Times New Roman"/>
          <w:sz w:val="24"/>
          <w:szCs w:val="24"/>
        </w:rPr>
        <w:t>του μέτρου</w:t>
      </w:r>
      <w:r w:rsidR="00335EA7" w:rsidRPr="00C40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E38" w:rsidRPr="00C40D39" w:rsidRDefault="0033772D" w:rsidP="00335EA7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>Περισσότερες από μ</w:t>
      </w:r>
      <w:r w:rsidR="00E65B6B" w:rsidRPr="00C40D39">
        <w:rPr>
          <w:rFonts w:ascii="Times New Roman" w:hAnsi="Times New Roman" w:cs="Times New Roman"/>
          <w:sz w:val="24"/>
          <w:szCs w:val="24"/>
          <w:lang w:val="el-GR"/>
        </w:rPr>
        <w:t>ία στις δύο επιχειρήσεις (5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E65B6B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%) </w:t>
      </w:r>
      <w:r w:rsidR="00E827EB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θεωρεί ότι οι ενδιάμεσες εκπτώσεις δεν επηρεάζουν τον συνολικό τζίρο 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φθινοπωρινής – χειμερινής περιόδου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E827EB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ενώ ποσοστό  2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E827EB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 κρίνει ότι το συγκεκριμένο μέτρο έχει αρνητικό αντίκτυπο και 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20</w:t>
      </w:r>
      <w:r w:rsidR="00E827EB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  θετικό. </w:t>
      </w:r>
    </w:p>
    <w:p w:rsidR="00E827EB" w:rsidRPr="00C40D39" w:rsidRDefault="00E23F34" w:rsidP="00335EA7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>Αν</w:t>
      </w:r>
      <w:r w:rsidR="006D4E38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αφορικά με την χρησιμότητα μιας ξεχωριστής περιόδου ενδιάμεσων εκπτώσεων 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οι απόψεις μοιάζει να διχάζονται. </w:t>
      </w:r>
    </w:p>
    <w:p w:rsidR="00CE5161" w:rsidRPr="00C40D39" w:rsidRDefault="00CE5161" w:rsidP="007721A2">
      <w:pPr>
        <w:pStyle w:val="a6"/>
        <w:numPr>
          <w:ilvl w:val="0"/>
          <w:numId w:val="5"/>
        </w:numPr>
        <w:spacing w:before="80" w:line="36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Όσον αφορά τη λειτουργία των καταστημάτων την Κυριακή </w:t>
      </w:r>
      <w:r w:rsidR="007721A2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των ενδιάμεσων εκπτώσεων 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>η πλειονότητα αναφέρει ότι η λειτουργία της Κυριακής δεν επηρεάζει τον συνολικό τζίρο των ενδιάμεσων εκπτώσεων (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39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%) και το 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20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% δηλώνει ότι έχει αρνητικό αντίκτυπο. Επίσης, η ανάγκη απασχόλησης προσωπικού την Κυριακή καλύπτεται, είτε προσωπικά από τον επιχειρηματία, </w:t>
      </w:r>
      <w:r w:rsidR="00E23F34" w:rsidRPr="00C40D39">
        <w:rPr>
          <w:rFonts w:ascii="Times New Roman" w:hAnsi="Times New Roman" w:cs="Times New Roman"/>
          <w:sz w:val="24"/>
          <w:szCs w:val="24"/>
          <w:lang w:val="el-GR"/>
        </w:rPr>
        <w:t>είτε με το υπάρχον προσωπικό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δηλαδή</w:t>
      </w:r>
      <w:r w:rsidR="0033772D" w:rsidRPr="00C40D3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να πραγματοποιηθούν επιπλέον </w:t>
      </w:r>
      <w:r w:rsidRPr="00C40D39">
        <w:rPr>
          <w:rFonts w:ascii="Times New Roman" w:hAnsi="Times New Roman" w:cs="Times New Roman"/>
          <w:sz w:val="24"/>
          <w:szCs w:val="24"/>
          <w:lang w:val="el-GR"/>
        </w:rPr>
        <w:lastRenderedPageBreak/>
        <w:t>προσλήψεις. Τέλος, τρεις στις τέσσερις επιχειρήσεις φαίνεται να καταγράφουν αύξηση του λειτουργικού κόστους από τη λειτουργί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>α των καταστημάτων τις Κυριακές ενώ η επισκεψιμότητα φαίνεται να είναι ανεξάρτητη από την λειτουργία της Κυριακής</w:t>
      </w:r>
      <w:r w:rsidR="007721A2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 (47,7%)</w:t>
      </w:r>
      <w:r w:rsidR="00A57AAE" w:rsidRPr="00C40D39"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</w:p>
    <w:p w:rsidR="00A57AAE" w:rsidRPr="00C40D39" w:rsidRDefault="007721A2" w:rsidP="008817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D39">
        <w:rPr>
          <w:rFonts w:ascii="Times New Roman" w:hAnsi="Times New Roman" w:cs="Times New Roman"/>
          <w:b/>
          <w:sz w:val="24"/>
          <w:szCs w:val="24"/>
          <w:u w:val="single"/>
        </w:rPr>
        <w:t>Δ</w:t>
      </w:r>
      <w:r w:rsidR="00A57AAE" w:rsidRPr="00C40D39">
        <w:rPr>
          <w:rFonts w:ascii="Times New Roman" w:hAnsi="Times New Roman" w:cs="Times New Roman"/>
          <w:b/>
          <w:sz w:val="24"/>
          <w:szCs w:val="24"/>
          <w:u w:val="single"/>
        </w:rPr>
        <w:t>ιαγραμματική παρουσίαση των αποτελεσμάτων</w:t>
      </w:r>
    </w:p>
    <w:p w:rsidR="008817B5" w:rsidRPr="00C40D39" w:rsidRDefault="008817B5" w:rsidP="007721A2">
      <w:pPr>
        <w:pStyle w:val="a5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777B5C" w:rsidRPr="00B07706" w:rsidRDefault="00A57AAE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 w:rsidRPr="00A57AAE">
        <w:rPr>
          <w:rFonts w:asciiTheme="minorHAnsi" w:hAnsiTheme="minorHAnsi"/>
          <w:b/>
          <w:i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74310" cy="2923457"/>
            <wp:effectExtent l="19050" t="0" r="2159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B5C" w:rsidRDefault="00777B5C" w:rsidP="007721A2">
      <w:pPr>
        <w:pStyle w:val="a5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77B5C" w:rsidRDefault="00777B5C" w:rsidP="00A57AAE">
      <w:pPr>
        <w:pStyle w:val="a5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77B5C" w:rsidRDefault="00A57AAE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 w:rsidRPr="00A57AAE">
        <w:rPr>
          <w:rFonts w:asciiTheme="minorHAnsi" w:hAnsiTheme="minorHAnsi"/>
          <w:b/>
          <w:i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74310" cy="3252797"/>
            <wp:effectExtent l="19050" t="0" r="21590" b="4753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77B5C" w:rsidRDefault="00A57AAE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 w:rsidRPr="00A57AAE">
        <w:rPr>
          <w:rFonts w:asciiTheme="minorHAnsi" w:hAnsiTheme="minorHAnsi"/>
          <w:b/>
          <w:i/>
          <w:noProof/>
          <w:sz w:val="28"/>
          <w:szCs w:val="28"/>
          <w:u w:val="single"/>
          <w:lang w:eastAsia="el-GR"/>
        </w:rPr>
        <w:lastRenderedPageBreak/>
        <w:drawing>
          <wp:inline distT="0" distB="0" distL="0" distR="0">
            <wp:extent cx="5274310" cy="2782443"/>
            <wp:effectExtent l="19050" t="0" r="2159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409D" w:rsidRPr="00BE409D" w:rsidRDefault="00BE409D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A57AAE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  <w:r w:rsidRPr="00A57AAE">
        <w:rPr>
          <w:rFonts w:asciiTheme="minorHAnsi" w:hAnsiTheme="minorHAnsi"/>
          <w:b/>
          <w:i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74310" cy="3457575"/>
            <wp:effectExtent l="19050" t="0" r="21590" b="0"/>
            <wp:docPr id="6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777B5C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</w:p>
    <w:p w:rsidR="00777B5C" w:rsidRDefault="00A57AAE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  <w:lang w:val="en-US"/>
        </w:rPr>
      </w:pPr>
      <w:r w:rsidRPr="00A57AAE">
        <w:rPr>
          <w:rFonts w:asciiTheme="minorHAnsi" w:hAnsiTheme="minorHAnsi"/>
          <w:b/>
          <w:i/>
          <w:noProof/>
          <w:sz w:val="28"/>
          <w:szCs w:val="28"/>
          <w:u w:val="single"/>
          <w:lang w:eastAsia="el-GR"/>
        </w:rPr>
        <w:lastRenderedPageBreak/>
        <w:drawing>
          <wp:inline distT="0" distB="0" distL="0" distR="0">
            <wp:extent cx="5274310" cy="2985113"/>
            <wp:effectExtent l="19050" t="0" r="21590" b="5737"/>
            <wp:docPr id="7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7AAE" w:rsidRDefault="00A57AAE" w:rsidP="00A57AAE">
      <w:pPr>
        <w:pStyle w:val="a5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77B5C" w:rsidRDefault="00777B5C" w:rsidP="00777B5C">
      <w:pPr>
        <w:pStyle w:val="a5"/>
        <w:spacing w:before="80"/>
        <w:jc w:val="center"/>
        <w:rPr>
          <w:rFonts w:ascii="Times New Roman" w:hAnsi="Times New Roman"/>
          <w:b/>
          <w:sz w:val="24"/>
          <w:szCs w:val="24"/>
        </w:rPr>
      </w:pPr>
      <w:r w:rsidRPr="00DE1954">
        <w:rPr>
          <w:rFonts w:ascii="Times New Roman" w:hAnsi="Times New Roman"/>
          <w:b/>
          <w:sz w:val="24"/>
          <w:szCs w:val="24"/>
        </w:rPr>
        <w:t xml:space="preserve">Οι Εμπορικοί Σύλλογοι για </w:t>
      </w:r>
      <w:r>
        <w:rPr>
          <w:rFonts w:ascii="Times New Roman" w:hAnsi="Times New Roman"/>
          <w:b/>
          <w:sz w:val="24"/>
          <w:szCs w:val="24"/>
        </w:rPr>
        <w:t>την κίνηση των ενδιάμεσων εκπτώσεων του  Νοεμβρίου 2018 σε σύγκριση με το 2017</w:t>
      </w:r>
    </w:p>
    <w:p w:rsidR="00777B5C" w:rsidRPr="00DE1954" w:rsidRDefault="00777B5C" w:rsidP="00777B5C">
      <w:pPr>
        <w:pStyle w:val="a5"/>
        <w:spacing w:before="80"/>
        <w:jc w:val="center"/>
        <w:rPr>
          <w:rFonts w:ascii="Times New Roman" w:hAnsi="Times New Roman"/>
          <w:b/>
          <w:sz w:val="24"/>
          <w:szCs w:val="24"/>
        </w:rPr>
      </w:pPr>
    </w:p>
    <w:p w:rsidR="00EB1094" w:rsidRPr="00B608E2" w:rsidRDefault="00EB1094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  <w:r w:rsidRPr="00B608E2">
        <w:rPr>
          <w:rFonts w:eastAsia="Times New Roman" w:cs="Times New Roman"/>
          <w:bCs/>
          <w:color w:val="000000"/>
          <w:lang w:eastAsia="el-GR"/>
        </w:rPr>
        <w:t xml:space="preserve">Στον παρακάτω πίνακα παρουσιάζονται οι εκτιμήσεις των Εμπορικών Συλλόγων σε </w:t>
      </w:r>
      <w:r w:rsidR="007721A2">
        <w:rPr>
          <w:rFonts w:eastAsia="Times New Roman" w:cs="Times New Roman"/>
          <w:bCs/>
          <w:color w:val="000000"/>
          <w:lang w:eastAsia="el-GR"/>
        </w:rPr>
        <w:t>59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 περιοχές της χώρας</w:t>
      </w:r>
      <w:r w:rsidR="001E2A83" w:rsidRPr="00B608E2">
        <w:rPr>
          <w:rStyle w:val="a4"/>
          <w:rFonts w:eastAsia="Times New Roman" w:cs="Times New Roman"/>
          <w:bCs/>
          <w:color w:val="000000"/>
          <w:lang w:eastAsia="el-GR"/>
        </w:rPr>
        <w:footnoteReference w:id="1"/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, </w:t>
      </w:r>
      <w:r w:rsidR="00F56EF8" w:rsidRPr="00B608E2">
        <w:rPr>
          <w:rFonts w:eastAsia="Times New Roman" w:cs="Times New Roman"/>
          <w:bCs/>
          <w:color w:val="000000"/>
          <w:lang w:eastAsia="el-GR"/>
        </w:rPr>
        <w:t xml:space="preserve">σχετικά με </w:t>
      </w:r>
      <w:r w:rsidRPr="00B608E2">
        <w:rPr>
          <w:rFonts w:eastAsia="Times New Roman" w:cs="Times New Roman"/>
          <w:bCs/>
          <w:color w:val="000000"/>
          <w:lang w:eastAsia="el-GR"/>
        </w:rPr>
        <w:t>την κίνηση των πωλήσεων</w:t>
      </w:r>
      <w:r w:rsidR="00F56EF8" w:rsidRPr="00B608E2">
        <w:rPr>
          <w:rFonts w:eastAsia="Times New Roman" w:cs="Times New Roman"/>
          <w:bCs/>
          <w:color w:val="000000"/>
          <w:lang w:eastAsia="el-GR"/>
        </w:rPr>
        <w:t xml:space="preserve">,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κατά τη διάρκεια της ενδιάμεσης </w:t>
      </w:r>
      <w:r w:rsidR="00777B5C">
        <w:rPr>
          <w:rFonts w:eastAsia="Times New Roman" w:cs="Times New Roman"/>
          <w:bCs/>
          <w:color w:val="000000"/>
          <w:lang w:eastAsia="el-GR"/>
        </w:rPr>
        <w:t>χειμερινής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 εκπτωτικής περιόδου του </w:t>
      </w:r>
      <w:r w:rsidR="00777B5C">
        <w:rPr>
          <w:rFonts w:eastAsia="Times New Roman" w:cs="Times New Roman"/>
          <w:bCs/>
          <w:color w:val="000000"/>
          <w:lang w:eastAsia="el-GR"/>
        </w:rPr>
        <w:t xml:space="preserve">Νοεμβρίου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2018, σε σύγκριση με την αντίστοιχη περίοδο του 2017. </w:t>
      </w:r>
    </w:p>
    <w:p w:rsidR="00CA1C8E" w:rsidRPr="00B608E2" w:rsidRDefault="00082FEC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  <w:r w:rsidRPr="00EE5E3E">
        <w:rPr>
          <w:rFonts w:eastAsia="Times New Roman" w:cs="Times New Roman"/>
          <w:bCs/>
          <w:color w:val="000000"/>
          <w:lang w:eastAsia="el-GR"/>
        </w:rPr>
        <w:t xml:space="preserve">Από τις εκτιμήσεις των Εκπροσώπων των Εμπορικών Συλλόγων </w:t>
      </w:r>
      <w:r w:rsidR="005C24B2" w:rsidRPr="00EE5E3E">
        <w:rPr>
          <w:rFonts w:eastAsia="Times New Roman" w:cs="Times New Roman"/>
          <w:bCs/>
          <w:color w:val="000000"/>
          <w:lang w:eastAsia="el-GR"/>
        </w:rPr>
        <w:t xml:space="preserve">ενός μεγάλου μέρους των </w:t>
      </w:r>
      <w:r w:rsidRPr="00EE5E3E">
        <w:rPr>
          <w:rFonts w:eastAsia="Times New Roman" w:cs="Times New Roman"/>
          <w:bCs/>
          <w:color w:val="000000"/>
          <w:lang w:eastAsia="el-GR"/>
        </w:rPr>
        <w:t xml:space="preserve">εμπορικών αγορών της χώρας, φαίνεται ότι η αγορά κινήθηκε </w:t>
      </w:r>
      <w:r w:rsidR="006B0435" w:rsidRPr="00EE5E3E">
        <w:rPr>
          <w:rFonts w:eastAsia="Times New Roman" w:cs="Times New Roman"/>
          <w:bCs/>
          <w:color w:val="000000"/>
          <w:lang w:eastAsia="el-GR"/>
        </w:rPr>
        <w:t xml:space="preserve">κυρίως </w:t>
      </w:r>
      <w:r w:rsidR="004710F5" w:rsidRPr="00EE5E3E">
        <w:rPr>
          <w:rFonts w:eastAsia="Times New Roman" w:cs="Times New Roman"/>
          <w:bCs/>
          <w:color w:val="000000"/>
          <w:lang w:eastAsia="el-GR"/>
        </w:rPr>
        <w:t>πτωτικά.</w:t>
      </w:r>
      <w:r w:rsidR="004710F5" w:rsidRPr="00B608E2">
        <w:rPr>
          <w:rFonts w:eastAsia="Times New Roman" w:cs="Times New Roman"/>
          <w:bCs/>
          <w:color w:val="000000"/>
          <w:lang w:eastAsia="el-GR"/>
        </w:rPr>
        <w:t xml:space="preserve">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40"/>
        <w:gridCol w:w="3366"/>
        <w:gridCol w:w="5400"/>
      </w:tblGrid>
      <w:tr w:rsidR="00A34C78" w:rsidRPr="00A34C78" w:rsidTr="00A34C78">
        <w:trPr>
          <w:trHeight w:val="630"/>
        </w:trPr>
        <w:tc>
          <w:tcPr>
            <w:tcW w:w="9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Εκτίμηση της  κίνησης των πωλήσεων κατά την περίοδο των ενδιάμεσων  εκπτώσεων στα καταστήματα 60  περιοχών  της χώρας</w:t>
            </w:r>
          </w:p>
        </w:tc>
      </w:tr>
      <w:tr w:rsidR="00A34C78" w:rsidRPr="00A34C78" w:rsidTr="00A34C78">
        <w:trPr>
          <w:trHeight w:val="330"/>
        </w:trPr>
        <w:tc>
          <w:tcPr>
            <w:tcW w:w="9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Νοέμβριος (2018)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Αθήνα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2805EB">
        <w:trPr>
          <w:trHeight w:val="36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Θεσσαλονίκη      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2805EB">
        <w:trPr>
          <w:trHeight w:val="401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Πειραιάς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2805EB">
        <w:trPr>
          <w:trHeight w:val="406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Ν. Ιωνία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2805EB">
        <w:trPr>
          <w:trHeight w:val="39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Περιστέρι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2805EB">
        <w:trPr>
          <w:trHeight w:val="40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Μοσχάτο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Νίκαια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  <w:t>(+) 1-10%</w:t>
            </w:r>
          </w:p>
        </w:tc>
      </w:tr>
      <w:tr w:rsidR="00A34C78" w:rsidRPr="00A34C78" w:rsidTr="002805EB">
        <w:trPr>
          <w:trHeight w:val="358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Χαλάνδρι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2805EB">
        <w:trPr>
          <w:trHeight w:val="40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Κηφισιά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Μαρούσι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2805EB">
        <w:trPr>
          <w:trHeight w:val="414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Ίλιον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2805EB">
        <w:trPr>
          <w:trHeight w:val="278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Κερατσίνι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2805EB">
        <w:trPr>
          <w:trHeight w:val="268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Καλλιθέα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  <w:t>(+) 1-10%</w:t>
            </w:r>
          </w:p>
        </w:tc>
      </w:tr>
      <w:tr w:rsidR="00A34C78" w:rsidRPr="00A34C78" w:rsidTr="002805EB">
        <w:trPr>
          <w:trHeight w:val="386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Π. Φάληρο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2805EB">
        <w:trPr>
          <w:trHeight w:val="41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Πάτρα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Λάρισα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Ιωάννινα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Πρέβεζα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>Στα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Άρτα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41%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Τρίκαλα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Λαμία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Σύρος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2805EB">
        <w:trPr>
          <w:trHeight w:val="263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Λιβαδειά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2805EB">
        <w:trPr>
          <w:trHeight w:val="40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Θήβα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Γιαννιτσά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Έδεσσα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Νάουσα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Βέροια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Καβάλα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Φλώρινα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31-40%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Χαλκίδα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38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Πύργος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39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Καρδίτσα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21-30%</w:t>
            </w:r>
          </w:p>
        </w:tc>
      </w:tr>
      <w:tr w:rsidR="00A34C78" w:rsidRPr="00A34C78" w:rsidTr="00E8063E">
        <w:trPr>
          <w:trHeight w:val="401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Φάρσαλα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26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Βόλος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E8063E">
        <w:trPr>
          <w:trHeight w:val="26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Σέρρες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25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Κιλκίς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40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Αξιούπολη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21-30%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Σπάρτη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34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Κατερίνη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E8063E">
        <w:trPr>
          <w:trHeight w:val="26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Ρέθυμνο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25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Κέρκυρα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Κόρινθος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34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Κυπαρισσία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25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Ναύπακτος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Άργος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Κοζάνη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6C31"/>
                <w:lang w:eastAsia="el-GR"/>
              </w:rPr>
              <w:t>(+) 1-10%</w:t>
            </w:r>
          </w:p>
        </w:tc>
      </w:tr>
      <w:tr w:rsidR="00A34C78" w:rsidRPr="00A34C78" w:rsidTr="00E8063E">
        <w:trPr>
          <w:trHeight w:val="283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Γρεβενά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E8063E">
        <w:trPr>
          <w:trHeight w:val="272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Μεσολόγγι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E8063E">
        <w:trPr>
          <w:trHeight w:val="263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Αλεξάνδρεια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E8063E">
        <w:trPr>
          <w:trHeight w:val="26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Ελασσόνα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31-40%</w:t>
            </w:r>
          </w:p>
        </w:tc>
      </w:tr>
      <w:tr w:rsidR="00A34C78" w:rsidRPr="00A34C78" w:rsidTr="00E8063E">
        <w:trPr>
          <w:trHeight w:val="2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52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Σκύδρα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E8063E">
        <w:trPr>
          <w:trHeight w:val="248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Ζάκυνθος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251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Κιάτο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21-30%</w:t>
            </w:r>
          </w:p>
        </w:tc>
      </w:tr>
      <w:tr w:rsidR="00A34C78" w:rsidRPr="00A34C78" w:rsidTr="00E8063E">
        <w:trPr>
          <w:trHeight w:val="241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Νάξος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Κως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E8063E">
        <w:trPr>
          <w:trHeight w:val="414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Πολύγυρος- Χαλκιδική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11-20%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Κεφαλονιά &amp; Ιθάκη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Σαντορίνη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254061"/>
                <w:lang w:eastAsia="el-GR"/>
              </w:rPr>
              <w:t>Στα  ίδια επίπεδα</w:t>
            </w:r>
          </w:p>
        </w:tc>
      </w:tr>
      <w:tr w:rsidR="00A34C78" w:rsidRPr="00A34C78" w:rsidTr="00A34C78">
        <w:trPr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Λήμνος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(-) 1-10%</w:t>
            </w:r>
          </w:p>
        </w:tc>
      </w:tr>
      <w:tr w:rsidR="00A34C78" w:rsidRPr="00A34C78" w:rsidTr="00A34C78">
        <w:trPr>
          <w:trHeight w:val="330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M.O. (%)     2018/2017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C78" w:rsidRPr="00A34C78" w:rsidRDefault="00A34C78" w:rsidP="00A34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34C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-7%</w:t>
            </w:r>
          </w:p>
        </w:tc>
      </w:tr>
    </w:tbl>
    <w:p w:rsidR="00A625A8" w:rsidRPr="00B608E2" w:rsidRDefault="00A625A8" w:rsidP="00A625A8">
      <w:pPr>
        <w:tabs>
          <w:tab w:val="left" w:pos="4785"/>
        </w:tabs>
        <w:jc w:val="both"/>
      </w:pPr>
    </w:p>
    <w:sectPr w:rsidR="00A625A8" w:rsidRPr="00B608E2" w:rsidSect="0033772D">
      <w:footerReference w:type="default" r:id="rId14"/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0E" w:rsidRDefault="00D3300E" w:rsidP="001E2A83">
      <w:pPr>
        <w:spacing w:after="0" w:line="240" w:lineRule="auto"/>
      </w:pPr>
      <w:r>
        <w:separator/>
      </w:r>
    </w:p>
  </w:endnote>
  <w:endnote w:type="continuationSeparator" w:id="0">
    <w:p w:rsidR="00D3300E" w:rsidRDefault="00D3300E" w:rsidP="001E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479786"/>
      <w:docPartObj>
        <w:docPartGallery w:val="Page Numbers (Bottom of Page)"/>
        <w:docPartUnique/>
      </w:docPartObj>
    </w:sdtPr>
    <w:sdtEndPr/>
    <w:sdtContent>
      <w:p w:rsidR="00A96C9E" w:rsidRDefault="006A388A">
        <w:pPr>
          <w:pStyle w:val="a8"/>
          <w:jc w:val="right"/>
        </w:pPr>
        <w:r>
          <w:fldChar w:fldCharType="begin"/>
        </w:r>
        <w:r w:rsidR="00B338B7">
          <w:instrText>PAGE   \* MERGEFORMAT</w:instrText>
        </w:r>
        <w:r>
          <w:fldChar w:fldCharType="separate"/>
        </w:r>
        <w:r w:rsidR="00A82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C9E" w:rsidRDefault="00A96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0E" w:rsidRDefault="00D3300E" w:rsidP="001E2A83">
      <w:pPr>
        <w:spacing w:after="0" w:line="240" w:lineRule="auto"/>
      </w:pPr>
      <w:r>
        <w:separator/>
      </w:r>
    </w:p>
  </w:footnote>
  <w:footnote w:type="continuationSeparator" w:id="0">
    <w:p w:rsidR="00D3300E" w:rsidRDefault="00D3300E" w:rsidP="001E2A83">
      <w:pPr>
        <w:spacing w:after="0" w:line="240" w:lineRule="auto"/>
      </w:pPr>
      <w:r>
        <w:continuationSeparator/>
      </w:r>
    </w:p>
  </w:footnote>
  <w:footnote w:id="1">
    <w:p w:rsidR="00A96C9E" w:rsidRDefault="00A96C9E">
      <w:pPr>
        <w:pStyle w:val="a3"/>
      </w:pPr>
      <w:r>
        <w:rPr>
          <w:rStyle w:val="a4"/>
        </w:rPr>
        <w:footnoteRef/>
      </w:r>
      <w:r>
        <w:t>Υπάρχουν περιοχές που δεν συμμετέχουν στις ενδιάμεσες εκπτώσεις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1715"/>
    <w:multiLevelType w:val="hybridMultilevel"/>
    <w:tmpl w:val="E990D22A"/>
    <w:lvl w:ilvl="0" w:tplc="07B03D6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EA77EB7"/>
    <w:multiLevelType w:val="hybridMultilevel"/>
    <w:tmpl w:val="D598C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67E4"/>
    <w:multiLevelType w:val="hybridMultilevel"/>
    <w:tmpl w:val="C8FCEE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217"/>
    <w:multiLevelType w:val="hybridMultilevel"/>
    <w:tmpl w:val="50565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F6B86"/>
    <w:multiLevelType w:val="hybridMultilevel"/>
    <w:tmpl w:val="610EB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E46D6"/>
    <w:multiLevelType w:val="hybridMultilevel"/>
    <w:tmpl w:val="72BAC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0DCF"/>
    <w:multiLevelType w:val="hybridMultilevel"/>
    <w:tmpl w:val="299A58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FB1"/>
    <w:rsid w:val="00016912"/>
    <w:rsid w:val="00053592"/>
    <w:rsid w:val="00064EC5"/>
    <w:rsid w:val="00082FEC"/>
    <w:rsid w:val="001032B3"/>
    <w:rsid w:val="001070F1"/>
    <w:rsid w:val="00112EB7"/>
    <w:rsid w:val="00136316"/>
    <w:rsid w:val="00155976"/>
    <w:rsid w:val="00197139"/>
    <w:rsid w:val="001B3EA1"/>
    <w:rsid w:val="001B535C"/>
    <w:rsid w:val="001C57FD"/>
    <w:rsid w:val="001E2A83"/>
    <w:rsid w:val="00236FFE"/>
    <w:rsid w:val="00275CAD"/>
    <w:rsid w:val="002805EB"/>
    <w:rsid w:val="00335EA7"/>
    <w:rsid w:val="0033772D"/>
    <w:rsid w:val="00372E53"/>
    <w:rsid w:val="00374759"/>
    <w:rsid w:val="00444344"/>
    <w:rsid w:val="00461B20"/>
    <w:rsid w:val="004710F5"/>
    <w:rsid w:val="0047128A"/>
    <w:rsid w:val="004858AB"/>
    <w:rsid w:val="00590AAF"/>
    <w:rsid w:val="005B1BE1"/>
    <w:rsid w:val="005C24B2"/>
    <w:rsid w:val="005E5E39"/>
    <w:rsid w:val="00610ABE"/>
    <w:rsid w:val="006117F4"/>
    <w:rsid w:val="006562AC"/>
    <w:rsid w:val="00656B9F"/>
    <w:rsid w:val="006A388A"/>
    <w:rsid w:val="006B0435"/>
    <w:rsid w:val="006C512C"/>
    <w:rsid w:val="006D4E38"/>
    <w:rsid w:val="006D66A9"/>
    <w:rsid w:val="006D6A42"/>
    <w:rsid w:val="007721A2"/>
    <w:rsid w:val="00773A8D"/>
    <w:rsid w:val="00777B5C"/>
    <w:rsid w:val="007972FF"/>
    <w:rsid w:val="007B69EF"/>
    <w:rsid w:val="008817B5"/>
    <w:rsid w:val="008A1D3E"/>
    <w:rsid w:val="008A606C"/>
    <w:rsid w:val="008B60AB"/>
    <w:rsid w:val="008D489F"/>
    <w:rsid w:val="00911E66"/>
    <w:rsid w:val="009E757A"/>
    <w:rsid w:val="00A34C78"/>
    <w:rsid w:val="00A57AAE"/>
    <w:rsid w:val="00A625A8"/>
    <w:rsid w:val="00A82C64"/>
    <w:rsid w:val="00A96C9E"/>
    <w:rsid w:val="00AB46D7"/>
    <w:rsid w:val="00AC01AA"/>
    <w:rsid w:val="00AF40CC"/>
    <w:rsid w:val="00B00468"/>
    <w:rsid w:val="00B07706"/>
    <w:rsid w:val="00B27AC6"/>
    <w:rsid w:val="00B338B7"/>
    <w:rsid w:val="00B608E2"/>
    <w:rsid w:val="00BE409D"/>
    <w:rsid w:val="00BF312E"/>
    <w:rsid w:val="00C15F29"/>
    <w:rsid w:val="00C22614"/>
    <w:rsid w:val="00C40D39"/>
    <w:rsid w:val="00C7271C"/>
    <w:rsid w:val="00C81613"/>
    <w:rsid w:val="00CA1C8E"/>
    <w:rsid w:val="00CE5161"/>
    <w:rsid w:val="00CF09BC"/>
    <w:rsid w:val="00D23E30"/>
    <w:rsid w:val="00D3300E"/>
    <w:rsid w:val="00D43402"/>
    <w:rsid w:val="00DD4627"/>
    <w:rsid w:val="00E06EB4"/>
    <w:rsid w:val="00E123E6"/>
    <w:rsid w:val="00E20A15"/>
    <w:rsid w:val="00E23F34"/>
    <w:rsid w:val="00E62B44"/>
    <w:rsid w:val="00E65B6B"/>
    <w:rsid w:val="00E8063E"/>
    <w:rsid w:val="00E827EB"/>
    <w:rsid w:val="00EB1094"/>
    <w:rsid w:val="00ED39C5"/>
    <w:rsid w:val="00EE0FB1"/>
    <w:rsid w:val="00EE5E3E"/>
    <w:rsid w:val="00EF7400"/>
    <w:rsid w:val="00F0338E"/>
    <w:rsid w:val="00F50602"/>
    <w:rsid w:val="00F56EF8"/>
    <w:rsid w:val="00F71732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AF165-8D51-4E46-8119-21843A6C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0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1E2A8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E2A8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E2A83"/>
    <w:rPr>
      <w:vertAlign w:val="superscript"/>
    </w:rPr>
  </w:style>
  <w:style w:type="paragraph" w:styleId="a5">
    <w:name w:val="Plain Text"/>
    <w:basedOn w:val="a"/>
    <w:link w:val="Char0"/>
    <w:uiPriority w:val="99"/>
    <w:unhideWhenUsed/>
    <w:rsid w:val="00881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8817B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8817B5"/>
    <w:pPr>
      <w:spacing w:after="200" w:line="276" w:lineRule="auto"/>
      <w:ind w:left="720"/>
      <w:contextualSpacing/>
    </w:pPr>
    <w:rPr>
      <w:lang w:val="en-GB"/>
    </w:rPr>
  </w:style>
  <w:style w:type="paragraph" w:styleId="a7">
    <w:name w:val="header"/>
    <w:basedOn w:val="a"/>
    <w:link w:val="Char1"/>
    <w:uiPriority w:val="99"/>
    <w:unhideWhenUsed/>
    <w:rsid w:val="00797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7972FF"/>
  </w:style>
  <w:style w:type="paragraph" w:styleId="a8">
    <w:name w:val="footer"/>
    <w:basedOn w:val="a"/>
    <w:link w:val="Char2"/>
    <w:uiPriority w:val="99"/>
    <w:unhideWhenUsed/>
    <w:rsid w:val="00797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7972FF"/>
  </w:style>
  <w:style w:type="paragraph" w:styleId="a9">
    <w:name w:val="Balloon Text"/>
    <w:basedOn w:val="a"/>
    <w:link w:val="Char3"/>
    <w:uiPriority w:val="99"/>
    <w:semiHidden/>
    <w:unhideWhenUsed/>
    <w:rsid w:val="00B6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8E2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Char4"/>
    <w:uiPriority w:val="99"/>
    <w:semiHidden/>
    <w:unhideWhenUsed/>
    <w:rsid w:val="00E65B6B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a"/>
    <w:uiPriority w:val="99"/>
    <w:semiHidden/>
    <w:rsid w:val="00E65B6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65B6B"/>
    <w:rPr>
      <w:vertAlign w:val="superscript"/>
    </w:rPr>
  </w:style>
  <w:style w:type="table" w:customStyle="1" w:styleId="-11">
    <w:name w:val="Ανοιχτόχρωμη σκίαση - Έμφαση 11"/>
    <w:basedOn w:val="a1"/>
    <w:uiPriority w:val="60"/>
    <w:rsid w:val="00777B5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c">
    <w:name w:val="Table Grid"/>
    <w:basedOn w:val="a1"/>
    <w:uiPriority w:val="39"/>
    <w:rsid w:val="0077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57AA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ble\d\departments\ine.db\&#924;&#917;&#923;&#917;&#932;&#917;&#931;_&#917;&#929;&#917;&#933;&#925;&#917;&#931;\&#917;&#928;&#927;&#935;&#921;&#922;&#917;&#931;%20&#917;&#929;&#917;&#933;&#925;&#917;&#931;_2\&#917;&#922;&#928;&#932;&#937;&#931;&#917;&#921;&#931;\MIDSALES\MIDSALES_&#925;&#927;&#917;&#924;&#914;&#929;&#921;&#927;&#931;%202018\graphs%20&#925;&#927;&#917;&#924;&#914;&#929;&#921;&#927;&#931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ble\d\departments\ine.db\&#924;&#917;&#923;&#917;&#932;&#917;&#931;_&#917;&#929;&#917;&#933;&#925;&#917;&#931;\&#917;&#928;&#927;&#935;&#921;&#922;&#917;&#931;%20&#917;&#929;&#917;&#933;&#925;&#917;&#931;_2\&#917;&#922;&#928;&#932;&#937;&#931;&#917;&#921;&#931;\MIDSALES\MIDSALES_&#925;&#927;&#917;&#924;&#914;&#929;&#921;&#927;&#931;%202018\graphs%20&#925;&#927;&#917;&#924;&#914;&#929;&#921;&#927;&#931;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ble\d\departments\ine.db\&#924;&#917;&#923;&#917;&#932;&#917;&#931;_&#917;&#929;&#917;&#933;&#925;&#917;&#931;\&#917;&#928;&#927;&#935;&#921;&#922;&#917;&#931;%20&#917;&#929;&#917;&#933;&#925;&#917;&#931;_2\&#917;&#922;&#928;&#932;&#937;&#931;&#917;&#921;&#931;\MIDSALES\MIDSALES_&#925;&#927;&#917;&#924;&#914;&#929;&#921;&#927;&#931;%202018\graphs%20&#925;&#927;&#917;&#924;&#914;&#929;&#921;&#927;&#931;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ble\d\departments\ine.db\&#924;&#917;&#923;&#917;&#932;&#917;&#931;_&#917;&#929;&#917;&#933;&#925;&#917;&#931;\&#917;&#928;&#927;&#935;&#921;&#922;&#917;&#931;%20&#917;&#929;&#917;&#933;&#925;&#917;&#931;_2\&#917;&#922;&#928;&#932;&#937;&#931;&#917;&#921;&#931;\MIDSALES\MIDSALES_&#925;&#927;&#917;&#924;&#914;&#929;&#921;&#927;&#931;%202018\graphs%20&#925;&#927;&#917;&#924;&#914;&#929;&#921;&#927;&#931;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ble\d\departments\ine.db\&#924;&#917;&#923;&#917;&#932;&#917;&#931;_&#917;&#929;&#917;&#933;&#925;&#917;&#931;\&#917;&#928;&#927;&#935;&#921;&#922;&#917;&#931;%20&#917;&#929;&#917;&#933;&#925;&#917;&#931;_2\&#917;&#922;&#928;&#932;&#937;&#931;&#917;&#921;&#931;\MIDSALES\MIDSALES_&#925;&#927;&#917;&#924;&#914;&#929;&#921;&#927;&#931;%202018\graphs%20&#925;&#927;&#917;&#924;&#914;&#929;&#921;&#927;&#931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</a:t>
            </a:r>
            <a:r>
              <a:rPr lang="el-GR" sz="1400" baseline="0"/>
              <a:t> 1</a:t>
            </a:r>
            <a:r>
              <a:rPr lang="en-US" sz="1400" baseline="0"/>
              <a:t>: </a:t>
            </a:r>
            <a:r>
              <a:rPr lang="el-GR" sz="1400"/>
              <a:t>Πωλήσεις την εκπτωτική περίοδο του Νοεμβρίου 201</a:t>
            </a:r>
            <a:r>
              <a:rPr lang="en-GB" sz="1400"/>
              <a:t>8</a:t>
            </a:r>
            <a:r>
              <a:rPr lang="el-GR" sz="1400"/>
              <a:t> σε σύγκριση με το Νοέμβριο 2017</a:t>
            </a:r>
          </a:p>
        </c:rich>
      </c:tx>
      <c:layout>
        <c:manualLayout>
          <c:xMode val="edge"/>
          <c:yMode val="edge"/>
          <c:x val="0.10756321301421508"/>
          <c:y val="2.867383512544809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99681349735537E-2"/>
          <c:y val="0.26415696597003208"/>
          <c:w val="0.60876841672746174"/>
          <c:h val="0.64528837353544122"/>
        </c:manualLayout>
      </c:layout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Φύλλο1!$B$37:$B$40</c:f>
              <c:strCache>
                <c:ptCount val="4"/>
                <c:pt idx="0">
                  <c:v>Καλύτερα από το 2017</c:v>
                </c:pt>
                <c:pt idx="1">
                  <c:v>Χειρότερα από το 2017</c:v>
                </c:pt>
                <c:pt idx="2">
                  <c:v>Στα ίδια επίπεδα</c:v>
                </c:pt>
                <c:pt idx="3">
                  <c:v>ΔΑ</c:v>
                </c:pt>
              </c:strCache>
            </c:strRef>
          </c:cat>
          <c:val>
            <c:numRef>
              <c:f>Φύλλο1!$D$37:$D$40</c:f>
              <c:numCache>
                <c:formatCode>####.000</c:formatCode>
                <c:ptCount val="4"/>
                <c:pt idx="0">
                  <c:v>0.11206896551724138</c:v>
                </c:pt>
                <c:pt idx="1">
                  <c:v>0.46551724137931044</c:v>
                </c:pt>
                <c:pt idx="2">
                  <c:v>0.34482758620689674</c:v>
                </c:pt>
                <c:pt idx="3">
                  <c:v>7.7586206896551768E-2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 2</a:t>
            </a:r>
            <a:r>
              <a:rPr lang="en-US" sz="1400"/>
              <a:t>: </a:t>
            </a:r>
            <a:r>
              <a:rPr lang="el-GR" sz="1400"/>
              <a:t>Ποσοστό έκπτωσης στην επιχείρηση κατά τη διάρκεια των εκπτώσεων του Νοεμβρίου 2018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Φύλλο1!$B$2:$B$7</c:f>
              <c:strCache>
                <c:ptCount val="6"/>
                <c:pt idx="0">
                  <c:v>Δεν συμμετείχαν</c:v>
                </c:pt>
                <c:pt idx="1">
                  <c:v>1-10%</c:v>
                </c:pt>
                <c:pt idx="2">
                  <c:v>11%-20%</c:v>
                </c:pt>
                <c:pt idx="3">
                  <c:v>21-40%</c:v>
                </c:pt>
                <c:pt idx="4">
                  <c:v>41%-50%</c:v>
                </c:pt>
                <c:pt idx="5">
                  <c:v> 50% και άνω </c:v>
                </c:pt>
              </c:strCache>
            </c:strRef>
          </c:cat>
          <c:val>
            <c:numRef>
              <c:f>Φύλλο1!$D$2:$D$7</c:f>
              <c:numCache>
                <c:formatCode>####.000</c:formatCode>
                <c:ptCount val="6"/>
                <c:pt idx="0">
                  <c:v>0.15328467153284678</c:v>
                </c:pt>
                <c:pt idx="1">
                  <c:v>9.4890510948905146E-2</c:v>
                </c:pt>
                <c:pt idx="2">
                  <c:v>0.35036496350364993</c:v>
                </c:pt>
                <c:pt idx="3">
                  <c:v>0.29927007299270092</c:v>
                </c:pt>
                <c:pt idx="4">
                  <c:v>6.5693430656934337E-2</c:v>
                </c:pt>
                <c:pt idx="5">
                  <c:v>2.9197080291970798E-2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5391160"/>
        <c:axId val="465391944"/>
        <c:axId val="0"/>
      </c:bar3DChart>
      <c:catAx>
        <c:axId val="465391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65391944"/>
        <c:crosses val="autoZero"/>
        <c:auto val="1"/>
        <c:lblAlgn val="ctr"/>
        <c:lblOffset val="100"/>
        <c:noMultiLvlLbl val="0"/>
      </c:catAx>
      <c:valAx>
        <c:axId val="46539194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465391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 b="1" i="0" u="none" strike="noStrike" baseline="0"/>
              <a:t>Διάγραμμα 3</a:t>
            </a:r>
            <a:r>
              <a:rPr lang="en-US" sz="1400" b="1" i="0" u="none" strike="noStrike" baseline="0"/>
              <a:t>: </a:t>
            </a:r>
            <a:r>
              <a:rPr lang="el-GR" sz="1400" b="1" i="0" u="none" strike="noStrike" baseline="0"/>
              <a:t>Εμπορεύματα τα οποία είχαν έκπτωση κατά τη διάρκεια των εκπτώσεων του Νοεμβρίου 201</a:t>
            </a:r>
            <a:r>
              <a:rPr lang="en-GB" sz="1400" b="1" i="0" u="none" strike="noStrike" baseline="0"/>
              <a:t>8</a:t>
            </a:r>
            <a:endParaRPr lang="el-GR" sz="1400"/>
          </a:p>
        </c:rich>
      </c:tx>
      <c:layout>
        <c:manualLayout>
          <c:xMode val="edge"/>
          <c:yMode val="edge"/>
          <c:x val="0.10756321301421513"/>
          <c:y val="2.867383512544810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Φύλλο1!$B$20:$B$24</c:f>
              <c:strCache>
                <c:ptCount val="5"/>
                <c:pt idx="0">
                  <c:v>Στο μεγαλύτερο μέρος των νέων παραλαβών της σεζόν </c:v>
                </c:pt>
                <c:pt idx="1">
                  <c:v>Σε μικρό μέρος των νέων παραλαβών της σεζόν</c:v>
                </c:pt>
                <c:pt idx="2">
                  <c:v>Σε συγκεκριμένη κατηγορία προϊόντων</c:v>
                </c:pt>
                <c:pt idx="3">
                  <c:v>Κυρίως σε εμπορεύματα stock </c:v>
                </c:pt>
                <c:pt idx="4">
                  <c:v>Σε όλα τα εμπορεύματα</c:v>
                </c:pt>
              </c:strCache>
            </c:strRef>
          </c:cat>
          <c:val>
            <c:numRef>
              <c:f>Φύλλο1!$D$20:$D$24</c:f>
              <c:numCache>
                <c:formatCode>####.0</c:formatCode>
                <c:ptCount val="5"/>
                <c:pt idx="0">
                  <c:v>0.17241379310344837</c:v>
                </c:pt>
                <c:pt idx="1">
                  <c:v>1.7241379310344827E-2</c:v>
                </c:pt>
                <c:pt idx="2">
                  <c:v>0.13793103448275873</c:v>
                </c:pt>
                <c:pt idx="3">
                  <c:v>0.12931034482758624</c:v>
                </c:pt>
                <c:pt idx="4">
                  <c:v>0.5431034482758621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 4</a:t>
            </a:r>
            <a:r>
              <a:rPr lang="en-US" sz="1400"/>
              <a:t>: </a:t>
            </a:r>
            <a:r>
              <a:rPr lang="el-GR" sz="1400"/>
              <a:t>Πως επηρεάζει το εκπτωτικό δεκαήμερο του Νοεμβρίου</a:t>
            </a:r>
            <a:r>
              <a:rPr lang="el-GR" sz="1400" baseline="0"/>
              <a:t> </a:t>
            </a:r>
            <a:r>
              <a:rPr lang="el-GR" sz="1400"/>
              <a:t>τον συνολικό τζίρο το διάστημα της φθινοπωρινής-χειμωνιάτικης εμπορικής περιόδου</a:t>
            </a:r>
          </a:p>
        </c:rich>
      </c:tx>
      <c:layout>
        <c:manualLayout>
          <c:xMode val="edge"/>
          <c:yMode val="edge"/>
          <c:x val="0.10756321301421508"/>
          <c:y val="2.86736838307582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ysClr val="window" lastClr="FFFFFF">
                  <a:lumMod val="85000"/>
                </a:sys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Φύλλο1!$B$54:$B$57</c:f>
              <c:strCache>
                <c:ptCount val="4"/>
                <c:pt idx="0">
                  <c:v>Αυξάνει τον τζίρο</c:v>
                </c:pt>
                <c:pt idx="1">
                  <c:v>Μειώνει τον τζίρο</c:v>
                </c:pt>
                <c:pt idx="2">
                  <c:v>Δεν επηρεάζει τον τζίρο</c:v>
                </c:pt>
                <c:pt idx="3">
                  <c:v>ΔΑ</c:v>
                </c:pt>
              </c:strCache>
            </c:strRef>
          </c:cat>
          <c:val>
            <c:numRef>
              <c:f>Φύλλο1!$D$54:$D$57</c:f>
              <c:numCache>
                <c:formatCode>####.000</c:formatCode>
                <c:ptCount val="4"/>
                <c:pt idx="0">
                  <c:v>0.19827586206896552</c:v>
                </c:pt>
                <c:pt idx="1">
                  <c:v>0.23275862068965517</c:v>
                </c:pt>
                <c:pt idx="2">
                  <c:v>0.5431034482758621</c:v>
                </c:pt>
                <c:pt idx="3">
                  <c:v>2.5862068965517241E-2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 5</a:t>
            </a:r>
            <a:r>
              <a:rPr lang="en-US" sz="1400"/>
              <a:t>: </a:t>
            </a:r>
            <a:r>
              <a:rPr lang="el-GR" sz="1400"/>
              <a:t> Εάν είναι σύμφωνοι με την εφαρμογή του μέτρου, των ενδιάμεσων εκπτώσεων</a:t>
            </a:r>
          </a:p>
        </c:rich>
      </c:tx>
      <c:layout>
        <c:manualLayout>
          <c:xMode val="edge"/>
          <c:yMode val="edge"/>
          <c:x val="0.10756321301421508"/>
          <c:y val="2.867379077615307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2"/>
            <c:bubble3D val="0"/>
            <c:spPr>
              <a:solidFill>
                <a:sysClr val="window" lastClr="FFFFFF">
                  <a:lumMod val="85000"/>
                </a:sys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Φύλλο1!$B$68:$B$70</c:f>
              <c:strCache>
                <c:ptCount val="3"/>
                <c:pt idx="0">
                  <c:v>Ναι</c:v>
                </c:pt>
                <c:pt idx="1">
                  <c:v>Όχι</c:v>
                </c:pt>
                <c:pt idx="2">
                  <c:v>ΔΓ/ΔΑ</c:v>
                </c:pt>
              </c:strCache>
            </c:strRef>
          </c:cat>
          <c:val>
            <c:numRef>
              <c:f>Φύλλο1!$D$68:$D$70</c:f>
              <c:numCache>
                <c:formatCode>####.0</c:formatCode>
                <c:ptCount val="3"/>
                <c:pt idx="0">
                  <c:v>0.4913793103448279</c:v>
                </c:pt>
                <c:pt idx="1">
                  <c:v>0.48275862068965536</c:v>
                </c:pt>
                <c:pt idx="2">
                  <c:v>2.5862068965517241E-2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8B6D-4B32-4985-9FDE-5FC12AC6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Elissavet Salpea</dc:creator>
  <cp:lastModifiedBy>Maira Fondrie</cp:lastModifiedBy>
  <cp:revision>14</cp:revision>
  <dcterms:created xsi:type="dcterms:W3CDTF">2018-11-13T14:33:00Z</dcterms:created>
  <dcterms:modified xsi:type="dcterms:W3CDTF">2018-11-14T09:21:00Z</dcterms:modified>
</cp:coreProperties>
</file>