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06" w:rsidRPr="00B23707" w:rsidRDefault="00686906" w:rsidP="00686906">
      <w:pPr>
        <w:pStyle w:val="1"/>
        <w:numPr>
          <w:ilvl w:val="0"/>
          <w:numId w:val="1"/>
        </w:numPr>
        <w:ind w:left="284" w:hanging="284"/>
        <w:rPr>
          <w:rFonts w:asciiTheme="minorHAnsi" w:hAnsiTheme="minorHAnsi"/>
          <w:lang w:val="en-US"/>
        </w:rPr>
      </w:pPr>
      <w:bookmarkStart w:id="0" w:name="_Toc463356407"/>
      <w:bookmarkStart w:id="1" w:name="_Toc475452567"/>
      <w:r w:rsidRPr="00B23707">
        <w:rPr>
          <w:rFonts w:asciiTheme="minorHAnsi" w:hAnsiTheme="minorHAnsi"/>
        </w:rPr>
        <w:t>Ο Θεσμός της Μαθητείας</w:t>
      </w:r>
      <w:bookmarkEnd w:id="0"/>
      <w:bookmarkEnd w:id="1"/>
      <w:r w:rsidRPr="00B23707">
        <w:rPr>
          <w:rFonts w:asciiTheme="minorHAnsi" w:hAnsiTheme="minorHAnsi"/>
        </w:rPr>
        <w:t xml:space="preserve">  </w:t>
      </w:r>
    </w:p>
    <w:p w:rsidR="00686906" w:rsidRPr="00B23707" w:rsidRDefault="00686906" w:rsidP="00686906">
      <w:pPr>
        <w:spacing w:after="0"/>
        <w:jc w:val="both"/>
        <w:rPr>
          <w:rFonts w:cs="Times New Roman"/>
        </w:rPr>
      </w:pPr>
      <w:r w:rsidRPr="00B23707">
        <w:rPr>
          <w:rFonts w:cs="Times New Roman"/>
        </w:rPr>
        <w:t xml:space="preserve">Ως </w:t>
      </w:r>
      <w:r w:rsidRPr="00B23707">
        <w:rPr>
          <w:rFonts w:cs="Times New Roman"/>
          <w:b/>
        </w:rPr>
        <w:t>Μαθητεία</w:t>
      </w:r>
      <w:r w:rsidRPr="00B23707">
        <w:rPr>
          <w:rFonts w:cs="Times New Roman"/>
        </w:rPr>
        <w:t xml:space="preserve"> ορίζεται το εκπαιδευτικό σύστημα στο οποίο ο μαθησιακός χρόνος εναλλάσσεται μεταξύ χώρου εργασίας και εκπαιδευτικής δομής. Ο μαθητευόμενος συνδέεται </w:t>
      </w:r>
      <w:r w:rsidRPr="001E37EF">
        <w:rPr>
          <w:rFonts w:cs="Times New Roman"/>
        </w:rPr>
        <w:t>µε Σύμβαση Μαθητείας µε τον εργοδότη, λαμβάνει αμοιβή ή επίδομα, σύμφωνα µε την ισχύουσα νομοθεσία, και έχει ασφαλιστική κάλυψη. Η Μαθητεία  υλοποιείται με βάση πρόγραμμα μάθησης το οποίο επιμερίζεται στον χώρο εργασίας και στην εκπαιδευτική δομή. Ο εργοδότης αναλαμβάνει να παράσχει στον μαθητευόμενο εκπαίδευση στο χώρο εργασίας, σύμφωνα με καθορισμένο πρόγραμμα, το οποίο, σε συνδυασμό με το πρόγραμμα μάθησης στην εκπαιδευτική δομή, οδηγεί σε πιστοποίηση των γνώσεων και δεξιοτήτων που απέκτησε ο μαθητευόμενος και οδηγεί σε συγκεκριμένη ειδικότητα.</w:t>
      </w:r>
      <w:r w:rsidRPr="00B23707">
        <w:rPr>
          <w:rFonts w:cs="Times New Roman"/>
        </w:rPr>
        <w:t xml:space="preserve"> </w:t>
      </w:r>
    </w:p>
    <w:p w:rsidR="00686906" w:rsidRPr="00B23707" w:rsidRDefault="00686906" w:rsidP="00686906">
      <w:pPr>
        <w:spacing w:after="0" w:line="240" w:lineRule="auto"/>
        <w:jc w:val="both"/>
        <w:rPr>
          <w:rFonts w:cs="Times New Roman"/>
        </w:rPr>
      </w:pPr>
    </w:p>
    <w:p w:rsidR="00686906" w:rsidRPr="00B23707" w:rsidRDefault="00686906" w:rsidP="00686906">
      <w:pPr>
        <w:spacing w:after="0"/>
        <w:ind w:left="284" w:hanging="284"/>
        <w:jc w:val="both"/>
      </w:pPr>
      <w:r w:rsidRPr="00B23707">
        <w:rPr>
          <w:b/>
          <w:bCs/>
        </w:rPr>
        <w:t>Η μαθητεία απευθύνεται σε ενήλικους με στόχο:</w:t>
      </w:r>
    </w:p>
    <w:p w:rsidR="00686906" w:rsidRPr="00B23707" w:rsidRDefault="00686906" w:rsidP="00686906">
      <w:pPr>
        <w:numPr>
          <w:ilvl w:val="0"/>
          <w:numId w:val="2"/>
        </w:numPr>
        <w:tabs>
          <w:tab w:val="clear" w:pos="720"/>
          <w:tab w:val="num" w:pos="1800"/>
        </w:tabs>
        <w:spacing w:after="0"/>
        <w:ind w:left="284" w:hanging="284"/>
        <w:jc w:val="both"/>
      </w:pPr>
      <w:r w:rsidRPr="00B23707">
        <w:t>την αφομοίωση απαραίτητων επαγγελματικών γνώσεων και δεξιοτήτων</w:t>
      </w:r>
    </w:p>
    <w:p w:rsidR="00686906" w:rsidRPr="00B23707" w:rsidRDefault="00686906" w:rsidP="00686906">
      <w:pPr>
        <w:numPr>
          <w:ilvl w:val="0"/>
          <w:numId w:val="2"/>
        </w:numPr>
        <w:tabs>
          <w:tab w:val="clear" w:pos="720"/>
          <w:tab w:val="num" w:pos="1800"/>
        </w:tabs>
        <w:spacing w:after="0"/>
        <w:ind w:left="284" w:hanging="284"/>
        <w:jc w:val="both"/>
      </w:pPr>
      <w:r w:rsidRPr="00B23707">
        <w:t xml:space="preserve">την ετοιμότητα ανταπόκρισης στις απαιτήσεις αυτής της μορφής μάθησης </w:t>
      </w:r>
    </w:p>
    <w:p w:rsidR="00686906" w:rsidRPr="00B23707" w:rsidRDefault="00686906" w:rsidP="00686906">
      <w:pPr>
        <w:spacing w:after="0"/>
        <w:ind w:left="284" w:hanging="284"/>
        <w:jc w:val="both"/>
      </w:pPr>
      <w:r w:rsidRPr="00B23707">
        <w:rPr>
          <w:b/>
          <w:bCs/>
        </w:rPr>
        <w:t>Η μαθητεία διεξάγεται με βάση συγκεκριμένο Πρόγραμμα Σπουδών έτσι ώστε να:</w:t>
      </w:r>
    </w:p>
    <w:p w:rsidR="00686906" w:rsidRPr="00B23707" w:rsidRDefault="00686906" w:rsidP="00686906">
      <w:pPr>
        <w:numPr>
          <w:ilvl w:val="0"/>
          <w:numId w:val="3"/>
        </w:numPr>
        <w:tabs>
          <w:tab w:val="clear" w:pos="720"/>
          <w:tab w:val="num" w:pos="1800"/>
        </w:tabs>
        <w:spacing w:after="0"/>
        <w:ind w:left="284" w:hanging="284"/>
        <w:jc w:val="both"/>
      </w:pPr>
      <w:r w:rsidRPr="00B23707">
        <w:t>επιτυγχάνονται συγκεκριμένα μαθησιακά αποτελέσματα</w:t>
      </w:r>
    </w:p>
    <w:p w:rsidR="00686906" w:rsidRPr="001E37EF" w:rsidRDefault="00686906" w:rsidP="00686906">
      <w:pPr>
        <w:numPr>
          <w:ilvl w:val="0"/>
          <w:numId w:val="3"/>
        </w:numPr>
        <w:tabs>
          <w:tab w:val="clear" w:pos="720"/>
          <w:tab w:val="num" w:pos="1800"/>
        </w:tabs>
        <w:spacing w:after="0"/>
        <w:ind w:left="284" w:hanging="284"/>
        <w:jc w:val="both"/>
      </w:pPr>
      <w:r w:rsidRPr="00B23707">
        <w:t xml:space="preserve">επιτυγχάνεται συνεργασία εκπαιδευτικής δομής - </w:t>
      </w:r>
      <w:r w:rsidRPr="001E37EF">
        <w:t>εργοδότη</w:t>
      </w:r>
    </w:p>
    <w:p w:rsidR="00686906" w:rsidRPr="00B23707" w:rsidRDefault="00686906" w:rsidP="00686906">
      <w:pPr>
        <w:numPr>
          <w:ilvl w:val="0"/>
          <w:numId w:val="3"/>
        </w:numPr>
        <w:tabs>
          <w:tab w:val="clear" w:pos="720"/>
          <w:tab w:val="num" w:pos="1800"/>
        </w:tabs>
        <w:spacing w:after="0"/>
        <w:ind w:left="284" w:hanging="284"/>
        <w:jc w:val="both"/>
      </w:pPr>
      <w:r w:rsidRPr="00B23707">
        <w:t>αποτελεί δικλείδα ασφαλείας για την ορθή εφαρμογή της διαδικασίας τόσο στο σχολείο όσο και στο χώρο εργασίας.</w:t>
      </w:r>
    </w:p>
    <w:p w:rsidR="00686906" w:rsidRPr="00B23707" w:rsidRDefault="00686906" w:rsidP="00686906">
      <w:pPr>
        <w:spacing w:after="0"/>
        <w:ind w:left="284" w:hanging="284"/>
        <w:jc w:val="both"/>
      </w:pPr>
      <w:r w:rsidRPr="00B23707">
        <w:rPr>
          <w:b/>
          <w:bCs/>
        </w:rPr>
        <w:t>Στη μαθητεία προβλέπεται ημερήσια αποζημίωση και ασφάλιση για:</w:t>
      </w:r>
    </w:p>
    <w:p w:rsidR="00686906" w:rsidRPr="00B23707" w:rsidRDefault="00686906" w:rsidP="00686906">
      <w:pPr>
        <w:numPr>
          <w:ilvl w:val="0"/>
          <w:numId w:val="4"/>
        </w:numPr>
        <w:tabs>
          <w:tab w:val="clear" w:pos="720"/>
          <w:tab w:val="num" w:pos="1800"/>
        </w:tabs>
        <w:spacing w:after="0"/>
        <w:ind w:left="284" w:hanging="284"/>
        <w:jc w:val="both"/>
      </w:pPr>
      <w:r w:rsidRPr="00B23707">
        <w:t>ομαλοποίηση της μετάβασης των αποφοίτων των Επαγγελματικών Λυκείων από την εκπαίδευση στο επάγγελμα και εξοικείωσή τους  με τις υποχρεώσεις και τα δικαιώματα των εργαζόμενων.</w:t>
      </w:r>
    </w:p>
    <w:p w:rsidR="00686906" w:rsidRPr="00B23707" w:rsidRDefault="00686906" w:rsidP="00686906">
      <w:pPr>
        <w:numPr>
          <w:ilvl w:val="0"/>
          <w:numId w:val="4"/>
        </w:numPr>
        <w:tabs>
          <w:tab w:val="clear" w:pos="720"/>
          <w:tab w:val="num" w:pos="1800"/>
        </w:tabs>
        <w:spacing w:after="0"/>
        <w:ind w:left="284" w:hanging="284"/>
        <w:jc w:val="both"/>
      </w:pPr>
      <w:r w:rsidRPr="00B23707">
        <w:t xml:space="preserve">αφομοίωση επαγγελματικής κουλτούρας δέσμευσης </w:t>
      </w:r>
      <w:r w:rsidRPr="001E37EF">
        <w:t>των εργοδοτών</w:t>
      </w:r>
      <w:r w:rsidRPr="00B23707">
        <w:t xml:space="preserve"> στην εκπαίδευση των μαθητευομένων</w:t>
      </w:r>
      <w:r>
        <w:t>.</w:t>
      </w:r>
      <w:r w:rsidRPr="00B23707">
        <w:t xml:space="preserve"> </w:t>
      </w:r>
    </w:p>
    <w:p w:rsidR="00686906" w:rsidRPr="00B23707" w:rsidRDefault="00686906" w:rsidP="00686906">
      <w:pPr>
        <w:spacing w:after="0"/>
        <w:jc w:val="both"/>
        <w:rPr>
          <w:b/>
          <w:bCs/>
        </w:rPr>
      </w:pPr>
      <w:r w:rsidRPr="00B23707">
        <w:rPr>
          <w:b/>
          <w:bCs/>
        </w:rPr>
        <w:t>Η αναβάθμιση και διεύρυνση του θεσμού της μαθητείας αποτελεί μία στρατηγική κατεύθυνση  του Εθνικού Στρατηγικού Πλαισίου για την Αναβάθμιση της Επαγγελματικής Εκπαίδευσης και Κατάρτισης και της Μαθητείας καθώς και για την ενίσχυση της ελκυστικότητάς της.</w:t>
      </w:r>
      <w:r w:rsidR="00156339">
        <w:rPr>
          <w:b/>
          <w:bCs/>
        </w:rPr>
        <w:t xml:space="preserve"> </w:t>
      </w:r>
      <w:r w:rsidRPr="00B23707">
        <w:rPr>
          <w:b/>
          <w:bCs/>
        </w:rPr>
        <w:t>Επίσης η μαθητεία αποτελεί μία εναλλακτική διαδρομή για αποφοίτους ΕΕΚ στο πλαίσιο της αναβάθμισης των επαγγελματικών τους προσόντων</w:t>
      </w:r>
    </w:p>
    <w:p w:rsidR="00686906" w:rsidRPr="00B23707" w:rsidRDefault="00686906" w:rsidP="00686906">
      <w:pPr>
        <w:spacing w:after="0"/>
        <w:jc w:val="both"/>
        <w:rPr>
          <w:b/>
          <w:bCs/>
        </w:rPr>
      </w:pPr>
    </w:p>
    <w:p w:rsidR="00686906" w:rsidRDefault="00686906" w:rsidP="00686906">
      <w:pPr>
        <w:autoSpaceDE w:val="0"/>
        <w:autoSpaceDN w:val="0"/>
        <w:adjustRightInd w:val="0"/>
        <w:spacing w:after="0"/>
        <w:jc w:val="both"/>
      </w:pPr>
      <w:r w:rsidRPr="00B23707">
        <w:t xml:space="preserve">Κατά την εφαρμογή του </w:t>
      </w:r>
      <w:r w:rsidRPr="00B23707">
        <w:rPr>
          <w:b/>
        </w:rPr>
        <w:t>«Μεταλυκειακού έτους – τάξης Μαθητείας» στην Ελλάδα</w:t>
      </w:r>
      <w:r w:rsidRPr="00B23707">
        <w:t xml:space="preserve"> θα εφαρμοστεί το δυικό σύστημα εκπαίδευσης (μαθητείας) με συνολική διάρκεια του προγράμματος εννέα (9) μήνες και θα περιλαμβάνει: α) μαθητεία με εκπαίδευση στο χώρο εργασίας και β) μαθήματα Ειδικότητας στη σχολική μονάδα, αντίστοιχα. </w:t>
      </w:r>
    </w:p>
    <w:p w:rsidR="00156339" w:rsidRDefault="00156339" w:rsidP="00686906">
      <w:pPr>
        <w:autoSpaceDE w:val="0"/>
        <w:autoSpaceDN w:val="0"/>
        <w:adjustRightInd w:val="0"/>
        <w:spacing w:after="0"/>
        <w:jc w:val="both"/>
      </w:pPr>
    </w:p>
    <w:p w:rsidR="00686906" w:rsidRPr="00B23707" w:rsidRDefault="00686906" w:rsidP="00686906">
      <w:pPr>
        <w:autoSpaceDE w:val="0"/>
        <w:autoSpaceDN w:val="0"/>
        <w:adjustRightInd w:val="0"/>
        <w:spacing w:after="0"/>
        <w:jc w:val="both"/>
      </w:pPr>
      <w:r w:rsidRPr="00B23707">
        <w:t>Αναλυτικότερα κατά τη διάρκεια του «Μεταλυκειακού Έτους-Τάξης Μαθητείας» θα πραγματοποιηθούν:</w:t>
      </w:r>
    </w:p>
    <w:p w:rsidR="00686906" w:rsidRDefault="00686906" w:rsidP="00686906">
      <w:pPr>
        <w:spacing w:after="0"/>
        <w:jc w:val="both"/>
      </w:pPr>
      <w:r w:rsidRPr="00B23707">
        <w:rPr>
          <w:b/>
        </w:rPr>
        <w:t xml:space="preserve">Α. </w:t>
      </w:r>
      <w:r w:rsidRPr="00B23707">
        <w:rPr>
          <w:b/>
          <w:u w:val="single"/>
        </w:rPr>
        <w:t>«Πρόγραμμα εργαστηριακών μαθημάτων της ειδικότητας»</w:t>
      </w:r>
      <w:r w:rsidRPr="00B23707">
        <w:t xml:space="preserve"> συνολικής διάρκειας διακοσίων τριών </w:t>
      </w:r>
      <w:r w:rsidRPr="00B23707">
        <w:rPr>
          <w:b/>
        </w:rPr>
        <w:t>(203) ωρών</w:t>
      </w:r>
      <w:r>
        <w:rPr>
          <w:b/>
        </w:rPr>
        <w:t xml:space="preserve">, </w:t>
      </w:r>
      <w:r w:rsidRPr="001E37EF">
        <w:rPr>
          <w:b/>
        </w:rPr>
        <w:t>οι οποίες πρέπει να πραγματοποιηθούν απαραίτητα</w:t>
      </w:r>
      <w:r w:rsidRPr="001E37EF">
        <w:t>.  Το πρόγραμμα αυτό διδάσκεται μία (1) ημέρα την εβδομάδα για επτά (7) διδακτικές ώρες</w:t>
      </w:r>
      <w:r w:rsidRPr="00B23707">
        <w:t xml:space="preserve"> από εκπαιδευτικό προσωπικό του Υπουργείου Παιδείας, Έρευνας και Θρησκευμάτων, σε σχολικές μονάδες ΕΠΑ.Λ ή/και σε Εργαστηριακά Κέντρα (ΕΚ). </w:t>
      </w:r>
    </w:p>
    <w:p w:rsidR="00686906" w:rsidRDefault="00686906" w:rsidP="00686906">
      <w:pPr>
        <w:spacing w:after="0"/>
        <w:jc w:val="both"/>
      </w:pPr>
      <w:r w:rsidRPr="00B23707">
        <w:rPr>
          <w:b/>
        </w:rPr>
        <w:lastRenderedPageBreak/>
        <w:t xml:space="preserve">Β. </w:t>
      </w:r>
      <w:r w:rsidRPr="00B23707">
        <w:rPr>
          <w:b/>
          <w:u w:val="single"/>
        </w:rPr>
        <w:t>«Πρόγραμμα εκπαίδευσης στο χώρο εργασίας»</w:t>
      </w:r>
      <w:r w:rsidRPr="00B23707">
        <w:t xml:space="preserve">, διάρκειας είκοσι οκτώ (28) ωρών εβδομαδιαίως, επιμερισμένο σε τέσσερις (4) ημέρες για </w:t>
      </w:r>
      <w:r w:rsidRPr="00B23707">
        <w:rPr>
          <w:b/>
        </w:rPr>
        <w:t>9 μήνες</w:t>
      </w:r>
      <w:r w:rsidRPr="003A7067">
        <w:rPr>
          <w:b/>
        </w:rPr>
        <w:t xml:space="preserve">, </w:t>
      </w:r>
      <w:r w:rsidRPr="00507DED">
        <w:t xml:space="preserve">εξαιρουμένων των εβδομάδων που περιλαμβάνουν επίσημες αργίες και του χρονικού διαστήματος που ο εργοδότης παραμένει κλειστός. </w:t>
      </w:r>
    </w:p>
    <w:p w:rsidR="00686906" w:rsidRPr="005C77E0" w:rsidRDefault="00686906" w:rsidP="00686906">
      <w:pPr>
        <w:spacing w:after="0"/>
        <w:jc w:val="both"/>
        <w:rPr>
          <w:b/>
          <w:bCs/>
        </w:rPr>
      </w:pPr>
    </w:p>
    <w:p w:rsidR="00686906" w:rsidRPr="00B23707" w:rsidRDefault="00686906" w:rsidP="00686906">
      <w:pPr>
        <w:pStyle w:val="1"/>
        <w:numPr>
          <w:ilvl w:val="0"/>
          <w:numId w:val="1"/>
        </w:numPr>
        <w:spacing w:before="0"/>
        <w:ind w:left="284" w:hanging="284"/>
        <w:rPr>
          <w:rFonts w:asciiTheme="minorHAnsi" w:hAnsiTheme="minorHAnsi"/>
        </w:rPr>
      </w:pPr>
      <w:bookmarkStart w:id="2" w:name="_Toc475452571"/>
      <w:r w:rsidRPr="00B23707">
        <w:rPr>
          <w:rFonts w:asciiTheme="minorHAnsi" w:hAnsiTheme="minorHAnsi"/>
        </w:rPr>
        <w:t>Ειδικότητες της «Τάξης Μαθητείας»</w:t>
      </w:r>
      <w:bookmarkEnd w:id="2"/>
    </w:p>
    <w:p w:rsidR="00686906" w:rsidRDefault="00686906" w:rsidP="00686906">
      <w:pPr>
        <w:autoSpaceDE w:val="0"/>
        <w:autoSpaceDN w:val="0"/>
        <w:adjustRightInd w:val="0"/>
        <w:spacing w:after="0"/>
        <w:jc w:val="both"/>
        <w:rPr>
          <w:rFonts w:cs="Times New Roman"/>
          <w:szCs w:val="24"/>
        </w:rPr>
      </w:pPr>
      <w:r w:rsidRPr="00B23707">
        <w:rPr>
          <w:rFonts w:cs="Times New Roman"/>
          <w:szCs w:val="24"/>
        </w:rPr>
        <w:t xml:space="preserve">Οι ειδικότητες </w:t>
      </w:r>
      <w:r w:rsidR="00156339">
        <w:rPr>
          <w:rFonts w:cs="Times New Roman"/>
          <w:szCs w:val="24"/>
        </w:rPr>
        <w:t xml:space="preserve">ανά τομέα </w:t>
      </w:r>
      <w:r w:rsidRPr="00B23707">
        <w:rPr>
          <w:rFonts w:cs="Times New Roman"/>
          <w:szCs w:val="24"/>
        </w:rPr>
        <w:t>που θα προσφερθούν στο Μεταλυκειακό Έτος – Τάξη Μαθητείας της σχολικής περιόδου 201</w:t>
      </w:r>
      <w:r>
        <w:rPr>
          <w:rFonts w:cs="Times New Roman"/>
          <w:szCs w:val="24"/>
        </w:rPr>
        <w:t>8</w:t>
      </w:r>
      <w:r w:rsidRPr="00B23707">
        <w:rPr>
          <w:rFonts w:cs="Times New Roman"/>
          <w:szCs w:val="24"/>
        </w:rPr>
        <w:t>-1</w:t>
      </w:r>
      <w:r>
        <w:rPr>
          <w:rFonts w:cs="Times New Roman"/>
          <w:szCs w:val="24"/>
        </w:rPr>
        <w:t>9</w:t>
      </w:r>
      <w:r w:rsidRPr="00B23707">
        <w:rPr>
          <w:rFonts w:cs="Times New Roman"/>
          <w:szCs w:val="24"/>
        </w:rPr>
        <w:t xml:space="preserve"> είναι οι ακόλουθες: </w:t>
      </w:r>
    </w:p>
    <w:tbl>
      <w:tblPr>
        <w:tblW w:w="8460" w:type="dxa"/>
        <w:tblInd w:w="93" w:type="dxa"/>
        <w:tblLook w:val="04A0"/>
      </w:tblPr>
      <w:tblGrid>
        <w:gridCol w:w="3393"/>
        <w:gridCol w:w="5067"/>
      </w:tblGrid>
      <w:tr w:rsidR="00686906" w:rsidRPr="00686906" w:rsidTr="007D0457">
        <w:trPr>
          <w:trHeight w:val="320"/>
        </w:trPr>
        <w:tc>
          <w:tcPr>
            <w:tcW w:w="3393" w:type="dxa"/>
            <w:tcBorders>
              <w:top w:val="single" w:sz="4" w:space="0" w:color="C0C0C0"/>
              <w:left w:val="single" w:sz="4" w:space="0" w:color="C0C0C0"/>
              <w:bottom w:val="single" w:sz="4" w:space="0" w:color="C0C0C0"/>
              <w:right w:val="single" w:sz="4" w:space="0" w:color="C0C0C0"/>
            </w:tcBorders>
            <w:shd w:val="clear" w:color="auto" w:fill="C2D69B" w:themeFill="accent3" w:themeFillTint="99"/>
            <w:vAlign w:val="center"/>
            <w:hideMark/>
          </w:tcPr>
          <w:p w:rsidR="00686906" w:rsidRPr="00686906" w:rsidRDefault="00686906" w:rsidP="00686906">
            <w:pPr>
              <w:spacing w:after="0" w:line="240" w:lineRule="auto"/>
              <w:jc w:val="center"/>
              <w:rPr>
                <w:rFonts w:ascii="Comic Sans MS" w:eastAsia="Times New Roman" w:hAnsi="Comic Sans MS" w:cs="Times New Roman"/>
                <w:b/>
                <w:color w:val="000000"/>
              </w:rPr>
            </w:pPr>
            <w:r w:rsidRPr="00686906">
              <w:rPr>
                <w:rFonts w:ascii="Comic Sans MS" w:eastAsia="Times New Roman" w:hAnsi="Comic Sans MS" w:cs="Times New Roman"/>
                <w:b/>
                <w:color w:val="000000"/>
              </w:rPr>
              <w:t>Τομείς</w:t>
            </w:r>
          </w:p>
        </w:tc>
        <w:tc>
          <w:tcPr>
            <w:tcW w:w="506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vAlign w:val="center"/>
            <w:hideMark/>
          </w:tcPr>
          <w:p w:rsidR="00686906" w:rsidRPr="00686906" w:rsidRDefault="00686906" w:rsidP="00686906">
            <w:pPr>
              <w:spacing w:after="0" w:line="240" w:lineRule="auto"/>
              <w:jc w:val="center"/>
              <w:rPr>
                <w:rFonts w:ascii="Comic Sans MS" w:eastAsia="Times New Roman" w:hAnsi="Comic Sans MS" w:cs="Times New Roman"/>
                <w:b/>
                <w:color w:val="000000"/>
              </w:rPr>
            </w:pPr>
            <w:r w:rsidRPr="00686906">
              <w:rPr>
                <w:rFonts w:ascii="Comic Sans MS" w:eastAsia="Times New Roman" w:hAnsi="Comic Sans MS" w:cs="Times New Roman"/>
                <w:b/>
                <w:color w:val="000000"/>
              </w:rPr>
              <w:t>Ειδικότητες</w:t>
            </w:r>
          </w:p>
        </w:tc>
      </w:tr>
      <w:tr w:rsidR="00686906" w:rsidRPr="003A2031" w:rsidTr="007D0457">
        <w:trPr>
          <w:trHeight w:val="320"/>
        </w:trPr>
        <w:tc>
          <w:tcPr>
            <w:tcW w:w="3393" w:type="dxa"/>
            <w:tcBorders>
              <w:top w:val="single" w:sz="4" w:space="0" w:color="C0C0C0"/>
              <w:left w:val="single" w:sz="4" w:space="0" w:color="C0C0C0"/>
              <w:bottom w:val="single" w:sz="4" w:space="0" w:color="C0C0C0"/>
              <w:right w:val="single" w:sz="4" w:space="0" w:color="C0C0C0"/>
            </w:tcBorders>
            <w:shd w:val="clear" w:color="000000" w:fill="FCD5B4"/>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Τομέας Γεωπονίας, Τροφίμων και Περιβάλλοντος</w:t>
            </w:r>
          </w:p>
        </w:tc>
        <w:tc>
          <w:tcPr>
            <w:tcW w:w="5067" w:type="dxa"/>
            <w:tcBorders>
              <w:top w:val="single" w:sz="8" w:space="0" w:color="FFFFFF"/>
              <w:left w:val="single" w:sz="8" w:space="0" w:color="FFFFFF"/>
              <w:bottom w:val="single" w:sz="8" w:space="0" w:color="FFFFFF"/>
              <w:right w:val="single" w:sz="8" w:space="0" w:color="FFFFFF"/>
            </w:tcBorders>
            <w:shd w:val="clear" w:color="000000" w:fill="FCD5B4"/>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Τεχνικός Φυτικής Παραγωγής</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000000" w:fill="FCD5B4"/>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p>
        </w:tc>
        <w:tc>
          <w:tcPr>
            <w:tcW w:w="5067" w:type="dxa"/>
            <w:tcBorders>
              <w:top w:val="nil"/>
              <w:left w:val="single" w:sz="8" w:space="0" w:color="FFFFFF"/>
              <w:bottom w:val="single" w:sz="8" w:space="0" w:color="FFFFFF"/>
              <w:right w:val="single" w:sz="8" w:space="0" w:color="FFFFFF"/>
            </w:tcBorders>
            <w:shd w:val="clear" w:color="000000" w:fill="FCD5B4"/>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Τεχνικός Τεχνολογίας Τροφίμων και Ποτών</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000000" w:fill="D7E4BC"/>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Τομέας Διοίκησης και Οικονομίας</w:t>
            </w:r>
          </w:p>
        </w:tc>
        <w:tc>
          <w:tcPr>
            <w:tcW w:w="5067" w:type="dxa"/>
            <w:tcBorders>
              <w:top w:val="nil"/>
              <w:left w:val="single" w:sz="8" w:space="0" w:color="FFFFFF"/>
              <w:bottom w:val="single" w:sz="8" w:space="0" w:color="FFFFFF"/>
              <w:right w:val="single" w:sz="8" w:space="0" w:color="FFFFFF"/>
            </w:tcBorders>
            <w:shd w:val="clear" w:color="000000" w:fill="D7E4BC"/>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Υπάλληλος Διοίκησης και Οικονομικών Υπηρεσιών</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000000" w:fill="D7E4BC"/>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p>
        </w:tc>
        <w:tc>
          <w:tcPr>
            <w:tcW w:w="5067" w:type="dxa"/>
            <w:tcBorders>
              <w:top w:val="nil"/>
              <w:left w:val="single" w:sz="8" w:space="0" w:color="FFFFFF"/>
              <w:bottom w:val="single" w:sz="8" w:space="0" w:color="FFFFFF"/>
              <w:right w:val="single" w:sz="8" w:space="0" w:color="FFFFFF"/>
            </w:tcBorders>
            <w:shd w:val="clear" w:color="000000" w:fill="D7E4BC"/>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Υπάλληλος Τουριστικών Επιχειρήσεων</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000000" w:fill="FCD5B4"/>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Τομέας Δομικών Έργων, Δομημένου Περιβάλλοντος και Αρχιτεκτονικού Σχεδιασμού</w:t>
            </w:r>
          </w:p>
        </w:tc>
        <w:tc>
          <w:tcPr>
            <w:tcW w:w="5067" w:type="dxa"/>
            <w:tcBorders>
              <w:top w:val="nil"/>
              <w:left w:val="single" w:sz="8" w:space="0" w:color="FFFFFF"/>
              <w:bottom w:val="single" w:sz="8" w:space="0" w:color="FFFFFF"/>
              <w:right w:val="single" w:sz="8" w:space="0" w:color="FFFFFF"/>
            </w:tcBorders>
            <w:shd w:val="clear" w:color="000000" w:fill="FCD5B4"/>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Τεχνικός Δομικών Έργων και Γεωπληροφορικής</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Pr>
                <w:rFonts w:ascii="Comic Sans MS" w:eastAsia="Times New Roman" w:hAnsi="Comic Sans MS" w:cs="Times New Roman"/>
                <w:color w:val="000000"/>
                <w:sz w:val="20"/>
                <w:szCs w:val="20"/>
              </w:rPr>
              <w:t>Τομέας Εφαρμοσμένων Τεχνών</w:t>
            </w:r>
          </w:p>
        </w:tc>
        <w:tc>
          <w:tcPr>
            <w:tcW w:w="5067" w:type="dxa"/>
            <w:tcBorders>
              <w:top w:val="nil"/>
              <w:left w:val="single" w:sz="8" w:space="0" w:color="FFFFFF"/>
              <w:bottom w:val="single" w:sz="8" w:space="0" w:color="FFFFFF"/>
              <w:right w:val="single" w:sz="8" w:space="0" w:color="FFFFFF"/>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Γραφικών Τεχνών</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p>
        </w:tc>
        <w:tc>
          <w:tcPr>
            <w:tcW w:w="5067" w:type="dxa"/>
            <w:tcBorders>
              <w:top w:val="nil"/>
              <w:left w:val="single" w:sz="8" w:space="0" w:color="FFFFFF"/>
              <w:bottom w:val="single" w:sz="8" w:space="0" w:color="FFFFFF"/>
              <w:right w:val="single" w:sz="8" w:space="0" w:color="FFFFFF"/>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Συντήρηση Έργων Τέχνης</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FBD4B4" w:themeFill="accent6"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Τομέας Ηλεκτρολογίας, Ηλεκτρονικής και Αυτοματισμού</w:t>
            </w:r>
          </w:p>
        </w:tc>
        <w:tc>
          <w:tcPr>
            <w:tcW w:w="5067" w:type="dxa"/>
            <w:tcBorders>
              <w:top w:val="nil"/>
              <w:left w:val="single" w:sz="8" w:space="0" w:color="FFFFFF"/>
              <w:bottom w:val="single" w:sz="8" w:space="0" w:color="FFFFFF"/>
              <w:right w:val="single" w:sz="8" w:space="0" w:color="FFFFFF"/>
            </w:tcBorders>
            <w:shd w:val="clear" w:color="auto" w:fill="FBD4B4" w:themeFill="accent6"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Τεχνικός Ηλεκτρολογικών Συστημάτων, Εγκαταστάσεων και Δικτύων</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FBD4B4" w:themeFill="accent6"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p>
        </w:tc>
        <w:tc>
          <w:tcPr>
            <w:tcW w:w="5067" w:type="dxa"/>
            <w:tcBorders>
              <w:top w:val="nil"/>
              <w:left w:val="single" w:sz="8" w:space="0" w:color="FFFFFF"/>
              <w:bottom w:val="single" w:sz="8" w:space="0" w:color="FFFFFF"/>
              <w:right w:val="single" w:sz="8" w:space="0" w:color="FFFFFF"/>
            </w:tcBorders>
            <w:shd w:val="clear" w:color="auto" w:fill="FBD4B4" w:themeFill="accent6"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Τεχνικός Ηλεκτρονικών και Υπολογιστικών Συστημάτων, Εγκαταστάσεων, Δικτύων και Τηλεπικοινωνιών</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Τομέας Μηχανολογίας</w:t>
            </w:r>
          </w:p>
        </w:tc>
        <w:tc>
          <w:tcPr>
            <w:tcW w:w="5067" w:type="dxa"/>
            <w:tcBorders>
              <w:top w:val="nil"/>
              <w:left w:val="single" w:sz="8" w:space="0" w:color="FFFFFF"/>
              <w:bottom w:val="single" w:sz="8" w:space="0" w:color="FFFFFF"/>
              <w:right w:val="single" w:sz="8" w:space="0" w:color="FFFFFF"/>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Τεχνικός Οχημάτων</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p>
        </w:tc>
        <w:tc>
          <w:tcPr>
            <w:tcW w:w="5067" w:type="dxa"/>
            <w:tcBorders>
              <w:top w:val="nil"/>
              <w:left w:val="single" w:sz="8" w:space="0" w:color="FFFFFF"/>
              <w:bottom w:val="single" w:sz="8" w:space="0" w:color="FFFFFF"/>
              <w:right w:val="single" w:sz="8" w:space="0" w:color="FFFFFF"/>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Τεχνικός Εγκαταστάσεων Ψύξης Αερισμού και Κλιματισμού</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p>
        </w:tc>
        <w:tc>
          <w:tcPr>
            <w:tcW w:w="5067" w:type="dxa"/>
            <w:tcBorders>
              <w:top w:val="nil"/>
              <w:left w:val="single" w:sz="8" w:space="0" w:color="FFFFFF"/>
              <w:bottom w:val="single" w:sz="8" w:space="0" w:color="FFFFFF"/>
              <w:right w:val="single" w:sz="8" w:space="0" w:color="FFFFFF"/>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Τεχνικός Μηχανολογικών Εγκαταστάσεων και Κατασκευών</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FBD4B4" w:themeFill="accent6"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Τομέας Πληροφορικής</w:t>
            </w:r>
          </w:p>
        </w:tc>
        <w:tc>
          <w:tcPr>
            <w:tcW w:w="5067" w:type="dxa"/>
            <w:tcBorders>
              <w:top w:val="nil"/>
              <w:left w:val="single" w:sz="8" w:space="0" w:color="FFFFFF"/>
              <w:bottom w:val="single" w:sz="8" w:space="0" w:color="FFFFFF"/>
              <w:right w:val="single" w:sz="8" w:space="0" w:color="FFFFFF"/>
            </w:tcBorders>
            <w:shd w:val="clear" w:color="auto" w:fill="FBD4B4" w:themeFill="accent6"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Τεχνικός Εφαρμογών Πληροφορικής</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FBD4B4" w:themeFill="accent6"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p>
        </w:tc>
        <w:tc>
          <w:tcPr>
            <w:tcW w:w="5067" w:type="dxa"/>
            <w:tcBorders>
              <w:top w:val="nil"/>
              <w:left w:val="single" w:sz="8" w:space="0" w:color="FFFFFF"/>
              <w:bottom w:val="single" w:sz="8" w:space="0" w:color="FFFFFF"/>
              <w:right w:val="single" w:sz="8" w:space="0" w:color="FFFFFF"/>
            </w:tcBorders>
            <w:shd w:val="clear" w:color="auto" w:fill="FBD4B4" w:themeFill="accent6"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Τεχνικός Η/Υ και Δικτύων Η/Υ</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Τομέας Υγείας - Πρόνοιας - Ευεξίας</w:t>
            </w:r>
          </w:p>
        </w:tc>
        <w:tc>
          <w:tcPr>
            <w:tcW w:w="5067" w:type="dxa"/>
            <w:tcBorders>
              <w:top w:val="nil"/>
              <w:left w:val="single" w:sz="8" w:space="0" w:color="FFFFFF"/>
              <w:bottom w:val="single" w:sz="8" w:space="0" w:color="FFFFFF"/>
              <w:right w:val="single" w:sz="8" w:space="0" w:color="FFFFFF"/>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Βοηθός Νοσηλευτή</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p>
        </w:tc>
        <w:tc>
          <w:tcPr>
            <w:tcW w:w="5067" w:type="dxa"/>
            <w:tcBorders>
              <w:top w:val="nil"/>
              <w:left w:val="single" w:sz="8" w:space="0" w:color="FFFFFF"/>
              <w:bottom w:val="single" w:sz="8" w:space="0" w:color="FFFFFF"/>
              <w:right w:val="single" w:sz="8" w:space="0" w:color="FFFFFF"/>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Βοηθός Ιατρικών –Βιολογικών Εργαστηρίων</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p>
        </w:tc>
        <w:tc>
          <w:tcPr>
            <w:tcW w:w="5067" w:type="dxa"/>
            <w:tcBorders>
              <w:top w:val="nil"/>
              <w:left w:val="single" w:sz="8" w:space="0" w:color="FFFFFF"/>
              <w:bottom w:val="single" w:sz="8" w:space="0" w:color="FFFFFF"/>
              <w:right w:val="single" w:sz="8" w:space="0" w:color="FFFFFF"/>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Βοηθός Βρεφονηπιοκόμων</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p>
        </w:tc>
        <w:tc>
          <w:tcPr>
            <w:tcW w:w="5067" w:type="dxa"/>
            <w:tcBorders>
              <w:top w:val="nil"/>
              <w:left w:val="single" w:sz="8" w:space="0" w:color="FFFFFF"/>
              <w:bottom w:val="single" w:sz="8" w:space="0" w:color="FFFFFF"/>
              <w:right w:val="single" w:sz="8" w:space="0" w:color="FFFFFF"/>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Βοηθός Φυσικοθεραπευτή</w:t>
            </w:r>
          </w:p>
        </w:tc>
      </w:tr>
      <w:tr w:rsidR="00686906" w:rsidRPr="003A2031" w:rsidTr="007D0457">
        <w:trPr>
          <w:trHeight w:val="341"/>
        </w:trPr>
        <w:tc>
          <w:tcPr>
            <w:tcW w:w="3393" w:type="dxa"/>
            <w:tcBorders>
              <w:top w:val="nil"/>
              <w:left w:val="single" w:sz="4" w:space="0" w:color="C0C0C0"/>
              <w:bottom w:val="single" w:sz="4" w:space="0" w:color="C0C0C0"/>
              <w:right w:val="single" w:sz="4" w:space="0" w:color="C0C0C0"/>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p>
        </w:tc>
        <w:tc>
          <w:tcPr>
            <w:tcW w:w="5067" w:type="dxa"/>
            <w:tcBorders>
              <w:top w:val="nil"/>
              <w:left w:val="single" w:sz="8" w:space="0" w:color="FFFFFF"/>
              <w:bottom w:val="single" w:sz="8" w:space="0" w:color="FFFFFF"/>
              <w:right w:val="single" w:sz="8" w:space="0" w:color="FFFFFF"/>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Αισθητικής Τέχνης</w:t>
            </w:r>
          </w:p>
        </w:tc>
      </w:tr>
      <w:tr w:rsidR="00686906" w:rsidRPr="003A2031" w:rsidTr="007D0457">
        <w:trPr>
          <w:trHeight w:val="320"/>
        </w:trPr>
        <w:tc>
          <w:tcPr>
            <w:tcW w:w="3393" w:type="dxa"/>
            <w:tcBorders>
              <w:top w:val="nil"/>
              <w:left w:val="single" w:sz="4" w:space="0" w:color="C0C0C0"/>
              <w:bottom w:val="single" w:sz="4" w:space="0" w:color="C0C0C0"/>
              <w:right w:val="single" w:sz="4" w:space="0" w:color="C0C0C0"/>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p>
        </w:tc>
        <w:tc>
          <w:tcPr>
            <w:tcW w:w="5067" w:type="dxa"/>
            <w:tcBorders>
              <w:top w:val="nil"/>
              <w:left w:val="single" w:sz="8" w:space="0" w:color="FFFFFF"/>
              <w:bottom w:val="single" w:sz="8" w:space="0" w:color="FFFFFF"/>
              <w:right w:val="single" w:sz="8" w:space="0" w:color="FFFFFF"/>
            </w:tcBorders>
            <w:shd w:val="clear" w:color="auto" w:fill="D6E3BC" w:themeFill="accent3" w:themeFillTint="66"/>
            <w:vAlign w:val="center"/>
            <w:hideMark/>
          </w:tcPr>
          <w:p w:rsidR="00686906" w:rsidRPr="003A2031" w:rsidRDefault="00686906" w:rsidP="00686906">
            <w:pPr>
              <w:spacing w:after="0" w:line="240" w:lineRule="auto"/>
              <w:jc w:val="center"/>
              <w:rPr>
                <w:rFonts w:ascii="Comic Sans MS" w:eastAsia="Times New Roman" w:hAnsi="Comic Sans MS" w:cs="Times New Roman"/>
                <w:color w:val="000000"/>
                <w:sz w:val="20"/>
                <w:szCs w:val="20"/>
              </w:rPr>
            </w:pPr>
            <w:r w:rsidRPr="003A2031">
              <w:rPr>
                <w:rFonts w:ascii="Comic Sans MS" w:eastAsia="Times New Roman" w:hAnsi="Comic Sans MS" w:cs="Times New Roman"/>
                <w:color w:val="000000"/>
                <w:sz w:val="20"/>
                <w:szCs w:val="20"/>
              </w:rPr>
              <w:t>Κομμωτικής Τέχνης</w:t>
            </w:r>
          </w:p>
        </w:tc>
      </w:tr>
    </w:tbl>
    <w:p w:rsidR="00CC5478" w:rsidRDefault="00CC5478" w:rsidP="00686906">
      <w:pPr>
        <w:autoSpaceDE w:val="0"/>
        <w:autoSpaceDN w:val="0"/>
        <w:adjustRightInd w:val="0"/>
        <w:spacing w:after="0"/>
        <w:jc w:val="both"/>
        <w:rPr>
          <w:rFonts w:cs="Times New Roman"/>
          <w:szCs w:val="24"/>
        </w:rPr>
      </w:pPr>
    </w:p>
    <w:p w:rsidR="00686906" w:rsidRDefault="00686906" w:rsidP="00686906">
      <w:pPr>
        <w:autoSpaceDE w:val="0"/>
        <w:autoSpaceDN w:val="0"/>
        <w:adjustRightInd w:val="0"/>
        <w:spacing w:after="0"/>
        <w:jc w:val="both"/>
        <w:rPr>
          <w:rFonts w:cs="Times New Roman"/>
          <w:szCs w:val="24"/>
        </w:rPr>
      </w:pPr>
      <w:r w:rsidRPr="00B23707">
        <w:rPr>
          <w:rFonts w:cs="Times New Roman"/>
          <w:szCs w:val="24"/>
        </w:rPr>
        <w:t>Το Πρόγραμμα Σπουδών Μαθητείας που θα εφαρμοστεί στο Μεταλυκειακό Έτος – Τάξη Μαθητείας είναι εγκεκριμένο από το ΙΕΠ και  πληροί τις προδιαγραφές ποιότητας, με βάση το διαμορφωμένο Πλαίσιο Ποιότητας, καθώς και τα κριτήρια, τα οποία είναι συμβατά με τα ισχύοντα αντίστοιχα πιστοποιημένα επαγγελματικά περιγράμματα του Ε.Ο.Π.Π.Ε.Π.</w:t>
      </w:r>
    </w:p>
    <w:p w:rsidR="00156339" w:rsidRDefault="00156339" w:rsidP="00686906">
      <w:pPr>
        <w:autoSpaceDE w:val="0"/>
        <w:autoSpaceDN w:val="0"/>
        <w:adjustRightInd w:val="0"/>
        <w:spacing w:after="0"/>
        <w:jc w:val="both"/>
        <w:rPr>
          <w:rFonts w:cs="Times New Roman"/>
          <w:szCs w:val="24"/>
        </w:rPr>
      </w:pPr>
    </w:p>
    <w:p w:rsidR="00156339" w:rsidRPr="00156339" w:rsidRDefault="00156339" w:rsidP="00156339">
      <w:pPr>
        <w:autoSpaceDE w:val="0"/>
        <w:autoSpaceDN w:val="0"/>
        <w:adjustRightInd w:val="0"/>
        <w:spacing w:after="0"/>
        <w:jc w:val="center"/>
        <w:rPr>
          <w:rFonts w:cs="Times New Roman"/>
          <w:b/>
          <w:szCs w:val="24"/>
        </w:rPr>
      </w:pPr>
      <w:r w:rsidRPr="00156339">
        <w:rPr>
          <w:rFonts w:cs="Times New Roman"/>
          <w:b/>
          <w:szCs w:val="24"/>
        </w:rPr>
        <w:t>Πληροφορίες σχετικά με το Μεταλυκειακό Έτος – Τάξη Μαθητείας :</w:t>
      </w:r>
    </w:p>
    <w:p w:rsidR="00B25A01" w:rsidRDefault="00156339" w:rsidP="00CC5478">
      <w:pPr>
        <w:autoSpaceDE w:val="0"/>
        <w:autoSpaceDN w:val="0"/>
        <w:adjustRightInd w:val="0"/>
        <w:spacing w:after="0"/>
        <w:jc w:val="center"/>
      </w:pPr>
      <w:r w:rsidRPr="00156339">
        <w:rPr>
          <w:rFonts w:cs="Times New Roman"/>
          <w:b/>
          <w:szCs w:val="24"/>
        </w:rPr>
        <w:t>ΔΔΕ Αχαΐας – κ. Ραβασόπουλος Γεώργιος - 2610465882</w:t>
      </w:r>
    </w:p>
    <w:sectPr w:rsidR="00B25A01" w:rsidSect="007D0457">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Comic Sans MS">
    <w:panose1 w:val="030F0702030302020204"/>
    <w:charset w:val="A1"/>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2E61"/>
    <w:multiLevelType w:val="multilevel"/>
    <w:tmpl w:val="968630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CD43A72"/>
    <w:multiLevelType w:val="hybridMultilevel"/>
    <w:tmpl w:val="D82A45EC"/>
    <w:lvl w:ilvl="0" w:tplc="DF3EE6FA">
      <w:start w:val="1"/>
      <w:numFmt w:val="bullet"/>
      <w:lvlText w:val="•"/>
      <w:lvlJc w:val="left"/>
      <w:pPr>
        <w:tabs>
          <w:tab w:val="num" w:pos="720"/>
        </w:tabs>
        <w:ind w:left="720" w:hanging="360"/>
      </w:pPr>
      <w:rPr>
        <w:rFonts w:ascii="Arial" w:hAnsi="Arial" w:hint="default"/>
      </w:rPr>
    </w:lvl>
    <w:lvl w:ilvl="1" w:tplc="8E4C8662" w:tentative="1">
      <w:start w:val="1"/>
      <w:numFmt w:val="bullet"/>
      <w:lvlText w:val="•"/>
      <w:lvlJc w:val="left"/>
      <w:pPr>
        <w:tabs>
          <w:tab w:val="num" w:pos="1440"/>
        </w:tabs>
        <w:ind w:left="1440" w:hanging="360"/>
      </w:pPr>
      <w:rPr>
        <w:rFonts w:ascii="Arial" w:hAnsi="Arial" w:hint="default"/>
      </w:rPr>
    </w:lvl>
    <w:lvl w:ilvl="2" w:tplc="D43EF54E" w:tentative="1">
      <w:start w:val="1"/>
      <w:numFmt w:val="bullet"/>
      <w:lvlText w:val="•"/>
      <w:lvlJc w:val="left"/>
      <w:pPr>
        <w:tabs>
          <w:tab w:val="num" w:pos="2160"/>
        </w:tabs>
        <w:ind w:left="2160" w:hanging="360"/>
      </w:pPr>
      <w:rPr>
        <w:rFonts w:ascii="Arial" w:hAnsi="Arial" w:hint="default"/>
      </w:rPr>
    </w:lvl>
    <w:lvl w:ilvl="3" w:tplc="6E20354A" w:tentative="1">
      <w:start w:val="1"/>
      <w:numFmt w:val="bullet"/>
      <w:lvlText w:val="•"/>
      <w:lvlJc w:val="left"/>
      <w:pPr>
        <w:tabs>
          <w:tab w:val="num" w:pos="2880"/>
        </w:tabs>
        <w:ind w:left="2880" w:hanging="360"/>
      </w:pPr>
      <w:rPr>
        <w:rFonts w:ascii="Arial" w:hAnsi="Arial" w:hint="default"/>
      </w:rPr>
    </w:lvl>
    <w:lvl w:ilvl="4" w:tplc="D660AE86" w:tentative="1">
      <w:start w:val="1"/>
      <w:numFmt w:val="bullet"/>
      <w:lvlText w:val="•"/>
      <w:lvlJc w:val="left"/>
      <w:pPr>
        <w:tabs>
          <w:tab w:val="num" w:pos="3600"/>
        </w:tabs>
        <w:ind w:left="3600" w:hanging="360"/>
      </w:pPr>
      <w:rPr>
        <w:rFonts w:ascii="Arial" w:hAnsi="Arial" w:hint="default"/>
      </w:rPr>
    </w:lvl>
    <w:lvl w:ilvl="5" w:tplc="DC82271E" w:tentative="1">
      <w:start w:val="1"/>
      <w:numFmt w:val="bullet"/>
      <w:lvlText w:val="•"/>
      <w:lvlJc w:val="left"/>
      <w:pPr>
        <w:tabs>
          <w:tab w:val="num" w:pos="4320"/>
        </w:tabs>
        <w:ind w:left="4320" w:hanging="360"/>
      </w:pPr>
      <w:rPr>
        <w:rFonts w:ascii="Arial" w:hAnsi="Arial" w:hint="default"/>
      </w:rPr>
    </w:lvl>
    <w:lvl w:ilvl="6" w:tplc="2160C6E6" w:tentative="1">
      <w:start w:val="1"/>
      <w:numFmt w:val="bullet"/>
      <w:lvlText w:val="•"/>
      <w:lvlJc w:val="left"/>
      <w:pPr>
        <w:tabs>
          <w:tab w:val="num" w:pos="5040"/>
        </w:tabs>
        <w:ind w:left="5040" w:hanging="360"/>
      </w:pPr>
      <w:rPr>
        <w:rFonts w:ascii="Arial" w:hAnsi="Arial" w:hint="default"/>
      </w:rPr>
    </w:lvl>
    <w:lvl w:ilvl="7" w:tplc="05CA7FB4" w:tentative="1">
      <w:start w:val="1"/>
      <w:numFmt w:val="bullet"/>
      <w:lvlText w:val="•"/>
      <w:lvlJc w:val="left"/>
      <w:pPr>
        <w:tabs>
          <w:tab w:val="num" w:pos="5760"/>
        </w:tabs>
        <w:ind w:left="5760" w:hanging="360"/>
      </w:pPr>
      <w:rPr>
        <w:rFonts w:ascii="Arial" w:hAnsi="Arial" w:hint="default"/>
      </w:rPr>
    </w:lvl>
    <w:lvl w:ilvl="8" w:tplc="7DC6B594" w:tentative="1">
      <w:start w:val="1"/>
      <w:numFmt w:val="bullet"/>
      <w:lvlText w:val="•"/>
      <w:lvlJc w:val="left"/>
      <w:pPr>
        <w:tabs>
          <w:tab w:val="num" w:pos="6480"/>
        </w:tabs>
        <w:ind w:left="6480" w:hanging="360"/>
      </w:pPr>
      <w:rPr>
        <w:rFonts w:ascii="Arial" w:hAnsi="Arial" w:hint="default"/>
      </w:rPr>
    </w:lvl>
  </w:abstractNum>
  <w:abstractNum w:abstractNumId="2">
    <w:nsid w:val="22C6405B"/>
    <w:multiLevelType w:val="hybridMultilevel"/>
    <w:tmpl w:val="31F27D78"/>
    <w:lvl w:ilvl="0" w:tplc="DB5E38E4">
      <w:start w:val="1"/>
      <w:numFmt w:val="bullet"/>
      <w:lvlText w:val="•"/>
      <w:lvlJc w:val="left"/>
      <w:pPr>
        <w:tabs>
          <w:tab w:val="num" w:pos="720"/>
        </w:tabs>
        <w:ind w:left="720" w:hanging="360"/>
      </w:pPr>
      <w:rPr>
        <w:rFonts w:ascii="Arial" w:hAnsi="Arial" w:hint="default"/>
      </w:rPr>
    </w:lvl>
    <w:lvl w:ilvl="1" w:tplc="E6587F0C" w:tentative="1">
      <w:start w:val="1"/>
      <w:numFmt w:val="bullet"/>
      <w:lvlText w:val="•"/>
      <w:lvlJc w:val="left"/>
      <w:pPr>
        <w:tabs>
          <w:tab w:val="num" w:pos="1440"/>
        </w:tabs>
        <w:ind w:left="1440" w:hanging="360"/>
      </w:pPr>
      <w:rPr>
        <w:rFonts w:ascii="Arial" w:hAnsi="Arial" w:hint="default"/>
      </w:rPr>
    </w:lvl>
    <w:lvl w:ilvl="2" w:tplc="60F87386" w:tentative="1">
      <w:start w:val="1"/>
      <w:numFmt w:val="bullet"/>
      <w:lvlText w:val="•"/>
      <w:lvlJc w:val="left"/>
      <w:pPr>
        <w:tabs>
          <w:tab w:val="num" w:pos="2160"/>
        </w:tabs>
        <w:ind w:left="2160" w:hanging="360"/>
      </w:pPr>
      <w:rPr>
        <w:rFonts w:ascii="Arial" w:hAnsi="Arial" w:hint="default"/>
      </w:rPr>
    </w:lvl>
    <w:lvl w:ilvl="3" w:tplc="3C1EA710" w:tentative="1">
      <w:start w:val="1"/>
      <w:numFmt w:val="bullet"/>
      <w:lvlText w:val="•"/>
      <w:lvlJc w:val="left"/>
      <w:pPr>
        <w:tabs>
          <w:tab w:val="num" w:pos="2880"/>
        </w:tabs>
        <w:ind w:left="2880" w:hanging="360"/>
      </w:pPr>
      <w:rPr>
        <w:rFonts w:ascii="Arial" w:hAnsi="Arial" w:hint="default"/>
      </w:rPr>
    </w:lvl>
    <w:lvl w:ilvl="4" w:tplc="AD8C86FE" w:tentative="1">
      <w:start w:val="1"/>
      <w:numFmt w:val="bullet"/>
      <w:lvlText w:val="•"/>
      <w:lvlJc w:val="left"/>
      <w:pPr>
        <w:tabs>
          <w:tab w:val="num" w:pos="3600"/>
        </w:tabs>
        <w:ind w:left="3600" w:hanging="360"/>
      </w:pPr>
      <w:rPr>
        <w:rFonts w:ascii="Arial" w:hAnsi="Arial" w:hint="default"/>
      </w:rPr>
    </w:lvl>
    <w:lvl w:ilvl="5" w:tplc="39664F78" w:tentative="1">
      <w:start w:val="1"/>
      <w:numFmt w:val="bullet"/>
      <w:lvlText w:val="•"/>
      <w:lvlJc w:val="left"/>
      <w:pPr>
        <w:tabs>
          <w:tab w:val="num" w:pos="4320"/>
        </w:tabs>
        <w:ind w:left="4320" w:hanging="360"/>
      </w:pPr>
      <w:rPr>
        <w:rFonts w:ascii="Arial" w:hAnsi="Arial" w:hint="default"/>
      </w:rPr>
    </w:lvl>
    <w:lvl w:ilvl="6" w:tplc="3788BC4C" w:tentative="1">
      <w:start w:val="1"/>
      <w:numFmt w:val="bullet"/>
      <w:lvlText w:val="•"/>
      <w:lvlJc w:val="left"/>
      <w:pPr>
        <w:tabs>
          <w:tab w:val="num" w:pos="5040"/>
        </w:tabs>
        <w:ind w:left="5040" w:hanging="360"/>
      </w:pPr>
      <w:rPr>
        <w:rFonts w:ascii="Arial" w:hAnsi="Arial" w:hint="default"/>
      </w:rPr>
    </w:lvl>
    <w:lvl w:ilvl="7" w:tplc="2E2A4B3A" w:tentative="1">
      <w:start w:val="1"/>
      <w:numFmt w:val="bullet"/>
      <w:lvlText w:val="•"/>
      <w:lvlJc w:val="left"/>
      <w:pPr>
        <w:tabs>
          <w:tab w:val="num" w:pos="5760"/>
        </w:tabs>
        <w:ind w:left="5760" w:hanging="360"/>
      </w:pPr>
      <w:rPr>
        <w:rFonts w:ascii="Arial" w:hAnsi="Arial" w:hint="default"/>
      </w:rPr>
    </w:lvl>
    <w:lvl w:ilvl="8" w:tplc="7598CAA8" w:tentative="1">
      <w:start w:val="1"/>
      <w:numFmt w:val="bullet"/>
      <w:lvlText w:val="•"/>
      <w:lvlJc w:val="left"/>
      <w:pPr>
        <w:tabs>
          <w:tab w:val="num" w:pos="6480"/>
        </w:tabs>
        <w:ind w:left="6480" w:hanging="360"/>
      </w:pPr>
      <w:rPr>
        <w:rFonts w:ascii="Arial" w:hAnsi="Arial" w:hint="default"/>
      </w:rPr>
    </w:lvl>
  </w:abstractNum>
  <w:abstractNum w:abstractNumId="3">
    <w:nsid w:val="3ABE390D"/>
    <w:multiLevelType w:val="hybridMultilevel"/>
    <w:tmpl w:val="CE8C76FE"/>
    <w:lvl w:ilvl="0" w:tplc="68D63072">
      <w:start w:val="1"/>
      <w:numFmt w:val="bullet"/>
      <w:lvlText w:val="•"/>
      <w:lvlJc w:val="left"/>
      <w:pPr>
        <w:tabs>
          <w:tab w:val="num" w:pos="720"/>
        </w:tabs>
        <w:ind w:left="720" w:hanging="360"/>
      </w:pPr>
      <w:rPr>
        <w:rFonts w:ascii="Arial" w:hAnsi="Arial" w:hint="default"/>
      </w:rPr>
    </w:lvl>
    <w:lvl w:ilvl="1" w:tplc="CD5852C6" w:tentative="1">
      <w:start w:val="1"/>
      <w:numFmt w:val="bullet"/>
      <w:lvlText w:val="•"/>
      <w:lvlJc w:val="left"/>
      <w:pPr>
        <w:tabs>
          <w:tab w:val="num" w:pos="1440"/>
        </w:tabs>
        <w:ind w:left="1440" w:hanging="360"/>
      </w:pPr>
      <w:rPr>
        <w:rFonts w:ascii="Arial" w:hAnsi="Arial" w:hint="default"/>
      </w:rPr>
    </w:lvl>
    <w:lvl w:ilvl="2" w:tplc="0EE4C56E" w:tentative="1">
      <w:start w:val="1"/>
      <w:numFmt w:val="bullet"/>
      <w:lvlText w:val="•"/>
      <w:lvlJc w:val="left"/>
      <w:pPr>
        <w:tabs>
          <w:tab w:val="num" w:pos="2160"/>
        </w:tabs>
        <w:ind w:left="2160" w:hanging="360"/>
      </w:pPr>
      <w:rPr>
        <w:rFonts w:ascii="Arial" w:hAnsi="Arial" w:hint="default"/>
      </w:rPr>
    </w:lvl>
    <w:lvl w:ilvl="3" w:tplc="847029BC" w:tentative="1">
      <w:start w:val="1"/>
      <w:numFmt w:val="bullet"/>
      <w:lvlText w:val="•"/>
      <w:lvlJc w:val="left"/>
      <w:pPr>
        <w:tabs>
          <w:tab w:val="num" w:pos="2880"/>
        </w:tabs>
        <w:ind w:left="2880" w:hanging="360"/>
      </w:pPr>
      <w:rPr>
        <w:rFonts w:ascii="Arial" w:hAnsi="Arial" w:hint="default"/>
      </w:rPr>
    </w:lvl>
    <w:lvl w:ilvl="4" w:tplc="80C8D6CA" w:tentative="1">
      <w:start w:val="1"/>
      <w:numFmt w:val="bullet"/>
      <w:lvlText w:val="•"/>
      <w:lvlJc w:val="left"/>
      <w:pPr>
        <w:tabs>
          <w:tab w:val="num" w:pos="3600"/>
        </w:tabs>
        <w:ind w:left="3600" w:hanging="360"/>
      </w:pPr>
      <w:rPr>
        <w:rFonts w:ascii="Arial" w:hAnsi="Arial" w:hint="default"/>
      </w:rPr>
    </w:lvl>
    <w:lvl w:ilvl="5" w:tplc="AE9AC17E" w:tentative="1">
      <w:start w:val="1"/>
      <w:numFmt w:val="bullet"/>
      <w:lvlText w:val="•"/>
      <w:lvlJc w:val="left"/>
      <w:pPr>
        <w:tabs>
          <w:tab w:val="num" w:pos="4320"/>
        </w:tabs>
        <w:ind w:left="4320" w:hanging="360"/>
      </w:pPr>
      <w:rPr>
        <w:rFonts w:ascii="Arial" w:hAnsi="Arial" w:hint="default"/>
      </w:rPr>
    </w:lvl>
    <w:lvl w:ilvl="6" w:tplc="BABEAF7C" w:tentative="1">
      <w:start w:val="1"/>
      <w:numFmt w:val="bullet"/>
      <w:lvlText w:val="•"/>
      <w:lvlJc w:val="left"/>
      <w:pPr>
        <w:tabs>
          <w:tab w:val="num" w:pos="5040"/>
        </w:tabs>
        <w:ind w:left="5040" w:hanging="360"/>
      </w:pPr>
      <w:rPr>
        <w:rFonts w:ascii="Arial" w:hAnsi="Arial" w:hint="default"/>
      </w:rPr>
    </w:lvl>
    <w:lvl w:ilvl="7" w:tplc="C3D42B8A" w:tentative="1">
      <w:start w:val="1"/>
      <w:numFmt w:val="bullet"/>
      <w:lvlText w:val="•"/>
      <w:lvlJc w:val="left"/>
      <w:pPr>
        <w:tabs>
          <w:tab w:val="num" w:pos="5760"/>
        </w:tabs>
        <w:ind w:left="5760" w:hanging="360"/>
      </w:pPr>
      <w:rPr>
        <w:rFonts w:ascii="Arial" w:hAnsi="Arial" w:hint="default"/>
      </w:rPr>
    </w:lvl>
    <w:lvl w:ilvl="8" w:tplc="B4E2B20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6906"/>
    <w:rsid w:val="00156339"/>
    <w:rsid w:val="00686906"/>
    <w:rsid w:val="007D0457"/>
    <w:rsid w:val="00B25A01"/>
    <w:rsid w:val="00CC54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06"/>
    <w:rPr>
      <w:rFonts w:eastAsiaTheme="minorEastAsia"/>
      <w:lang w:eastAsia="el-GR"/>
    </w:rPr>
  </w:style>
  <w:style w:type="paragraph" w:styleId="1">
    <w:name w:val="heading 1"/>
    <w:basedOn w:val="a"/>
    <w:next w:val="a"/>
    <w:link w:val="1Char"/>
    <w:uiPriority w:val="9"/>
    <w:qFormat/>
    <w:rsid w:val="006869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869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86906"/>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rsid w:val="00686906"/>
    <w:rPr>
      <w:rFonts w:asciiTheme="majorHAnsi" w:eastAsiaTheme="majorEastAsia" w:hAnsiTheme="majorHAnsi" w:cstheme="majorBidi"/>
      <w:b/>
      <w:bCs/>
      <w:color w:val="4F81BD" w:themeColor="accent1"/>
      <w:sz w:val="26"/>
      <w:szCs w:val="2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730</Words>
  <Characters>3942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InfoTeam</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dc:creator>
  <cp:keywords/>
  <dc:description/>
  <cp:lastModifiedBy>grav</cp:lastModifiedBy>
  <cp:revision>1</cp:revision>
  <cp:lastPrinted>2018-04-12T09:03:00Z</cp:lastPrinted>
  <dcterms:created xsi:type="dcterms:W3CDTF">2018-04-12T08:32:00Z</dcterms:created>
  <dcterms:modified xsi:type="dcterms:W3CDTF">2018-04-12T09:03:00Z</dcterms:modified>
</cp:coreProperties>
</file>