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ΚΕΦΑΛΑΙΟ 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Αναστολή συμβάσεων εργασίας εργαζομένων για τον μήνα Οκτώβριο 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Α1. Αναστολή συμβάσεων εργασίας εργαζομένων σε επιχειρήσεις - εργοδότες του ιδιωτικού τομέα, των οποίων συνεχίζεται η αναστολή λειτουργίας τους με εντολή δημόσιας αρχής για τον μήνα Οκτώβριο 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Άρθρο 1</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 Η αναστολή των συμβάσεων εργασίας των εργαζομένων σε επιχειρήσεις - εργοδότες του ιδιωτικού τομέα, των οποίων έχει ανασταλεί προσωρινά η λειτουργία με εντολή δημόσιας αρχής κατά τον μήνα Σεπτέμβριο 2020 και συνεχίζεται κατά τον μήνα Οκτώβριο 2020 βάσει ΚΑΔ που ορίζονται από το Υπουργείο Οικονομικών, παρατείνεται μέχρι την ημερομηνία της άρσης της αναστολής λειτουργίας τους με εντολή δημόσιας αρχής.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2. Οι συμβάσεις εξαρτημένης εργασίας ορισμένου χρόνου εργαζομένων σε επιχειρήσεις - εργοδότες της παρ. 1 του παρόντος άρθρου, που λήγουν μετά την προσωρινή αναστολή της λειτουργίας των επιχειρήσεων - εργοδοτών, τίθενται σε αναστολή. Μετά το πέρας του διαστήματος της αναστολής τους οι συμβάσεις εργασίας συνεχίζονται για τον συμφωνηθέντα χρόνο που υπολείπεται.</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3. Οι επιχειρήσεις - εργοδότες της παρ. 1 του παρόντος άρθρου υποχρεούνται να μην προβούν σε μειώσεις προσωπικού με καταγγελία των συμβάσεων εργασίας. Σε περίπτωση πραγματοποίησής τους, οι καταγγελίες αυτές είναι άκυρες.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Α2. Αναστολή συμβάσεων εργασίας εργαζομένων σε επιχειρήσεις - εργοδότες του ιδιωτικού τομέα που πλήττονται σημαντικά, για τον μήνα Οκτώβριο 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Άρθρο 1</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 Επιχειρήσεις - εργοδότες του ιδιωτικού τομέα που πλήττονται σημαντικά και ανήκουν στους κλάδους του τουρισμού, εποχικής ή μη λειτουργίας, των αεροπορικών και ακτοπλοϊκών μεταφορών, των χερσαίων μεταφορών επιβατών, του επισιτισμού, του πολιτισμού και του αθλητισμού καθώς και κάθε άλλου κλάδου που πλήττεται σημαντικά, βάσει ΚΑΔ, όπως αυτοί ορίζονται από το Υπουργείο Οικονομικών σύμφωνα με το ΠΑΡΑΡΤΗΜΑ της παρούσας, δύνανται:</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α. να θέτουν σε αναστολή ή να παρατείνουν την αναστολή συμβάσεων εργασίας των εργαζομένων τους που έχουν ήδη τεθεί σε αναστολή, κατ' εφαρμογή των σχετικών διατάξεων που αφορούν στην αντιμετώπιση των συνεπειών του κινδύνου διασποράς του κορωνοϊού </w:t>
      </w:r>
      <w:r>
        <w:rPr>
          <w:rFonts w:ascii="Arial" w:hAnsi="Arial" w:cs="Arial"/>
          <w:color w:val="000000"/>
        </w:rPr>
        <w:t>COVID</w:t>
      </w:r>
      <w:r w:rsidRPr="003E1E95">
        <w:rPr>
          <w:rFonts w:ascii="Arial" w:hAnsi="Arial" w:cs="Arial"/>
          <w:color w:val="000000"/>
          <w:lang w:val="el-GR"/>
        </w:rPr>
        <w:t>-19, ή και</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β. να θέτουν για πρώτη φορά σε αναστολή συμβάσεις εργασίας εργαζομένων τους.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lastRenderedPageBreak/>
        <w:t>Τα ανωτέρω δύνανται να εφαρμοστούν για μέρος ή το σύνολο των εργαζομένων τους, που έχουν προσληφθεί έως και την 15η Σεπτεμβρίου 2020, ημερομηνία δημοσίευσης του ν. 4722/2020 (Α' 177), για τον μήνα Οκτώβριο 2020, κατ' ανώτατο χρονικό διάστημα έως τριάντα (30) ημέρες και πάντως όχι πέραν της 31ής.10.2020.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2. Οι ανωτέρω επιχειρήσεις - εργοδότες μπορούν να εφαρμόζουν το μέτρο της αναστολής των συμβάσεων εργασίας σταδιακά και για διαφορετικό αριθμό εργαζομένων, μέχρι και του ποσοστού 100% αυτών, ανά υπεύθυνη δήλωση της επιχείρησης στο Πληροφοριακό Σύστημα ΕΡΓΑΝΗ.</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3. Οι συμβάσεις εργασίας εργαζομένων σε επιχειρήσεις - εργοδότες του παρόντος άρθρου, οι οποίες είχαν τεθεί σε αναστολή πριν την 15η Σεπτεμβρίου 2020, ημερομηνία δημοσίευσης του ν. 4722/2020 (Α' 177) και έχει ανακληθεί οριστικά η αναστολή τους, δύνανται να τίθενται εκ νέου σε αναστολή και πάντως όχι πέραν της 31ης.10.2020.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Άρθρο 2</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Ακυρότητα καταγγελίας συμβάσεων εργασίας -Ρήτρα διατήρησης θέσεων εργασίας -Συμβάσεις εξαρτημένης εργασίας ορισμένου χρόνου - Ανάκληση αναστολών συμβάσεων εργασίας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 Οι επιχειρήσεις - εργοδότες της παρ. 1 του άρθρου 1 του παρόντος υποκεφαλαίου, για όσο χρονικό διάστημα κάνουν χρήση του μέτρου της αναστολής των συμβάσεων εργασίας, και σε κάθε περίπτωση μέχρι την 31η.10.2020, υποχρεούνται να μην προβούν σε μειώσεις προσωπικού με καταγγελία των συμβάσεων εργασίας. Σε περίπτωση πραγματοποίησής τους, οι καταγγελίες αυτές είναι άκυρες.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2. Οι επιχειρήσεις-εργοδότες της παρ. 1 του παρόντος άρθρου, που κάνουν χρήση του μέτρου της αναστολής των συμβάσεων εργασίας, υποχρεούνται, μετά από τη λήξη του χρονικού διαστήματος της αναστολής των συμβάσεων εργασίας των εργαζομένων αυτών, να διατηρήσουν για χρονικό διάστημα τριάντα (30) ημερών τον ίδιο αριθμό θέσεων εργασίας και με το ίδιο είδος σύμβασης εργασίας. Η υποχρέωση αυτή δεν υφίσταται όταν συντρέχει αντικειμενική αδυναμία εκπλήρωσής της, όπως σε περιπτώσεις εποχικών επιχειρήσεων.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Στην έννοια του ιδίου αριθμού θέσεων εργασίας δεν συμπεριλαμβάνονται οι αποχωρούντες οικειοθελώς από την εργασία τους, οι αποχωρούντες λόγω συνταξιοδό-τησης, καθώς και οι εργαζόμενοι ορισμένου χρόνου των οποίων η σύμβαση εργασίας τους λήγει κατά τη διάρκεια του ανωτέρω χρονικού διαστήματος των 30 ημερών.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3. Η αναστολή συμβάσεων εξαρτημένης εργασίας ορισμένου χρόνου εργαζομένων σε επιχειρήσεις - εργοδότες της παρ. 1 του άρθρου 1 του παρόντος </w:t>
      </w:r>
      <w:r w:rsidRPr="003E1E95">
        <w:rPr>
          <w:rFonts w:ascii="Arial" w:hAnsi="Arial" w:cs="Arial"/>
          <w:color w:val="000000"/>
          <w:lang w:val="el-GR"/>
        </w:rPr>
        <w:lastRenderedPageBreak/>
        <w:t>υποκεφαλαίου δύναται να παραταθεί κατ' ανώτατο όριο έως 30 ημέρες και όχι πέραν της 31ής.10.2020. Επίσης, δύναται να τεθούν για πρώτη φορά ή εκ νέου σε αναστολή συμβάσεις εξαρτημένης εργασίας ορισμένου χρόνου.</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Σε κάθε περίπτωση μετά το πέρας του διαστήματος της αναστολής ή της παράτασης της αναστολής, οι ανωτέρω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εποχικών επιχειρήσεων.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 Οι επιχειρήσεις - εργοδότες που επαναλειτουργούν μετά την άρση της αναστολής λειτουργίας τους με εντολή δημόσιας αρχής ή που πλήττονται σημαντικά βάσει ΚΑΔ και έχουν θέσει σε αναστολή τις συμβάσεις εργασίας μέρους ή του συνόλου των εργαζομένων τους, δύνανται να προβαίνουν σε ανάκληση της αναστολής των συμβάσεων εργασίας των εργαζομένων αυτών. Μπορούν επίσης να θέτουν εκ νέου σε αναστολή τις συμβάσεις εργασίας εργαζομένων τους ανεξάρτητα από το αν έχει ανακληθεί οριστικά η αναστολή τους. Σε κάθε περίπτωση τα ανωτέρω ισχύουν έως και την 31.10.2020.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 Οι επιχειρήσεις - εργοδότες της παρ. 1 του άρθρου 1 του παρόντος υποκεφαλαίου δύνανται να: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α. προβαίνουν σε προσωρινή ανάκληση αναστολής συμβάσεων εργασίας εργαζομένων τους για κάλυψη έκτακτων, πρόσκαιρων, κατεπειγουσών και ανελαστικών αναγκών, στο πλαίσιο αντιμετώπισης του κορωνο-ϊού </w:t>
      </w:r>
      <w:r>
        <w:rPr>
          <w:rFonts w:ascii="Arial" w:hAnsi="Arial" w:cs="Arial"/>
          <w:color w:val="000000"/>
        </w:rPr>
        <w:t>COVID</w:t>
      </w:r>
      <w:r w:rsidRPr="003E1E95">
        <w:rPr>
          <w:rFonts w:ascii="Arial" w:hAnsi="Arial" w:cs="Arial"/>
          <w:color w:val="000000"/>
          <w:lang w:val="el-GR"/>
        </w:rPr>
        <w:t>-19, κατά τα οριζόμενα στο άρθρο δωδέκατο της από 1.5.2020 Πράξης Νομοθετικού Περιεχομένου (Α' 90),</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β. κάνουν χρήση του Μηχανισμού «ΣΥΝ-ΕΡΓΑΣΙΑ» των διατάξεων του άρθρου 31 του ν. 4690/2020 (Α' 104) όπως ισχύει, για μέρος ή για το σύνολο των εργαζομένων τους των οποίων οι συμβάσεις εργασίας δεν τελούν σε αναστολή ή για εργαζόμενους των οποίων οι συμβάσεις εργασίας είχαν τεθεί σε αναστολή.</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Α3. Αποζημίωση ειδικού σκοπού - Διαδικασία λήψης αποζημίωσης ειδικού σκοπού</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Άρθρο 1</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Αποζημίωση ειδικού σκοπού</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1. Οι εργαζόμενοι σε επιχειρήσεις - εργοδότες των υποκεφαλαίων Α1 και Α2 του παρόντος κεφαλαίου, των οποίων οι συμβάσεις εργασίας τελούν σε αναστολή, είναι δικαιούχοι της αποζημίωσης ειδικού σκοπού του δέκατου τρίτου άρθρου της από 14.3.2020 Πράξης Νομοθετικού Περιεχομένου (Α' 64), όπως αυτή κυρώθηκε με το άρθρο 3 του ν. 4682/2020 (Α' 76), κατ' αναλογία των ημερών διάρκειας της αναστολής των συμβάσεων εργασίας με βάση υπολογισμού το ποσό των </w:t>
      </w:r>
      <w:r w:rsidRPr="003E1E95">
        <w:rPr>
          <w:rFonts w:ascii="Arial" w:hAnsi="Arial" w:cs="Arial"/>
          <w:color w:val="000000"/>
          <w:lang w:val="el-GR"/>
        </w:rPr>
        <w:lastRenderedPageBreak/>
        <w:t>πεντακο-σίων τριάντα τεσσάρων (534) ευρώ που αντιστοιχεί στις τριάντα (30) ημέρες.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2. Η αποζημίωση της παρ. 1 του παρόντος άρθρου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 4172/2013 (Α' 167),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3. Η δαπάνη για την αποζημίωση ειδικού σκοπού κατ' αναλογία του χρονικού διαστήματος των αναστολών καλύπτεται από τον κρατικό προϋπολογισμό.</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Άρθρο 2</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Διαδικασία λήψης αποζημίωσης ειδικού σκοπού</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 Οι επιχειρήσεις - εργοδότες των υποκεφαλαίων Α1 και Α2 του παρόντος κεφαλαίου προβαίνουν είτε σε αρχική δήλωση των εργαζομένων τους, των οποίων οι συμβάσεις εργασίας τελούν σε αναστολή για πρώτη φορά είτε σε εκ νέου δήλωση των εργαζομένων των οποίων οι συμβάσεις εργασίας τίθενται εκ νέου σε αναστολή, είτε βεβαιώνουν ότι παρατείνεται η αναστολή των συμβάσεων εργασίας των εργαζομένων τους, για τον μήνα Οκτώβριο. Επίσης, οι ανωτέρω επιχειρήσεις - εργοδότες δηλώνουν τους εργαζόμενους των οποίων η αναστολή συμβάσεων εργασίας τους ανακαλείται.</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2. Για την περίπτωση των εργαζομένων των οποίων παρατείνεται η αναστολή των συμβάσεων εργασίας τους δεν απαιτείται επανυποβολή υπεύθυνης δήλωσης από τους εργαζόμενους, εκτός κι αν επιθυμούν τροποποίηση στοιχείων του τραπεζικού τους λογαριασμού (ΙΒΑΝ) ή στοιχείων της μίσθωσης κύριας κατοικίας τους.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Για την περίπτωση των εργαζομένων που τίθενται για πρώτη φορά ή εκ νέου οι συμβάσεις εργασίας τους σε αναστολή, αυτοί προβαίνουν σε υποβολή υπεύθυνης δήλωσης στην ηλεκτρονική πλατφόρμα του ειδικού μηχανισμού στήριξης των εργαζομένων (</w:t>
      </w:r>
      <w:proofErr w:type="spellStart"/>
      <w:r>
        <w:rPr>
          <w:rFonts w:ascii="Arial" w:hAnsi="Arial" w:cs="Arial"/>
          <w:color w:val="000000"/>
        </w:rPr>
        <w:t>supportemployees</w:t>
      </w:r>
      <w:proofErr w:type="spellEnd"/>
      <w:r w:rsidRPr="003E1E95">
        <w:rPr>
          <w:rFonts w:ascii="Arial" w:hAnsi="Arial" w:cs="Arial"/>
          <w:color w:val="000000"/>
          <w:lang w:val="el-GR"/>
        </w:rPr>
        <w:t xml:space="preserve">. </w:t>
      </w:r>
      <w:proofErr w:type="spellStart"/>
      <w:proofErr w:type="gramStart"/>
      <w:r>
        <w:rPr>
          <w:rFonts w:ascii="Arial" w:hAnsi="Arial" w:cs="Arial"/>
          <w:color w:val="000000"/>
        </w:rPr>
        <w:t>yeka</w:t>
      </w:r>
      <w:proofErr w:type="spellEnd"/>
      <w:r w:rsidRPr="003E1E95">
        <w:rPr>
          <w:rFonts w:ascii="Arial" w:hAnsi="Arial" w:cs="Arial"/>
          <w:color w:val="000000"/>
          <w:lang w:val="el-GR"/>
        </w:rPr>
        <w:t>.</w:t>
      </w:r>
      <w:proofErr w:type="spellStart"/>
      <w:r>
        <w:rPr>
          <w:rFonts w:ascii="Arial" w:hAnsi="Arial" w:cs="Arial"/>
          <w:color w:val="000000"/>
        </w:rPr>
        <w:t>gr</w:t>
      </w:r>
      <w:proofErr w:type="spellEnd"/>
      <w:r w:rsidRPr="003E1E95">
        <w:rPr>
          <w:rFonts w:ascii="Arial" w:hAnsi="Arial" w:cs="Arial"/>
          <w:color w:val="000000"/>
          <w:lang w:val="el-GR"/>
        </w:rPr>
        <w:t>). 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w:t>
      </w:r>
      <w:proofErr w:type="gramEnd"/>
      <w:r w:rsidRPr="003E1E95">
        <w:rPr>
          <w:rFonts w:ascii="Arial" w:hAnsi="Arial" w:cs="Arial"/>
          <w:color w:val="000000"/>
          <w:lang w:val="el-GR"/>
        </w:rPr>
        <w:t xml:space="preserve"> Επίσης, δηλώνουν και το αν μισθώνουν κύρια κατοικία, καθώς και τα στοιχεία του εκμισθωτή και του μίσθιου ακινήτου.</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3. Σε κάθε περίπτωση, οι επιχειρήσεις - εργοδότες υποχρεούνται να γνωστοποιήσουν την ανωτέρω υπεύθυνη δήλωσή τους, εγγράφως ή με </w:t>
      </w:r>
      <w:r w:rsidRPr="003E1E95">
        <w:rPr>
          <w:rFonts w:ascii="Arial" w:hAnsi="Arial" w:cs="Arial"/>
          <w:color w:val="000000"/>
          <w:lang w:val="el-GR"/>
        </w:rPr>
        <w:lastRenderedPageBreak/>
        <w:t>ηλεκτρονικό ταχυδρομείο, στους εργαζομένους τους, δηλώνοντάς τους και τον αριθμό πρωτοκόλλου καταχώρισης της πράξης τους στο ΠΣ ΕΡΓΑΝΗ.</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 Οι σχετικές Υπεύθυνες Δηλώσεις των επιχειρήσεων - εργοδοτών και των εργαζομένων του παρόντος υποκεφαλαίου υποβάλλονται για τον μήνα Οκτώβριο συγκεντρωτικά στις αρχές του Νοεμβρίου.</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br/>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ΣΥΝΗΜΜΕΝΟ ΠΑΡΑΡΤΗΜΑ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ΚΑΔ ΠΟΥ ΠΛΗΤΤΟΝΤΑΙ ΤΟΝ ΜΗΝΑ ΟΚΤΩΒΡΙΟ</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Δικαίωμα να θέσουν σε προσωρινή αναστολή εργασίας το 100% των εργαζομένων τους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01.49.19.02Εκτροφή γουνοφόρων ζώων (αλεπούς, μινκ, μυοκάστορα, τσιντσιλά και άλλων)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01.49.3Παραγωγή ακατέργαστων γουνοδερμάτων και διάφορων ακατέργαστων προβιών και δερμάτων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14.20Κατασκευή γούνινων ειδών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15.11Κατεργασία και δέψη δέρματος κατεργασία και βαφή γουναρικών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33.16Επισκευή και συντήρηση αεροσκαφών και διαστημόπλοιων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46.42.11.27Χονδρικό εμπόριο δεψασμένων η κατεργασμένων γουνοδερμάτων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46.42.11.29Χονδρικό εμπόριο ειδών ένδυσης, εξαρτημάτων ρουχισμού και άλλων ειδών από γουνόδερμα (εκτός από καλύμματα κεφαλιού)</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46.42.11.40Χονδρικό εμπόριο ημιετοίμων γουναρικών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46.42.11.58Χονδρικό εμπόριο αποκομμάτων γουναρικών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46.90.10.06Χονδρικό εμπόριο διάφορων τουριστικών και λοιπών παρόμοιων ειδών λαϊκής τέχνης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47.71.71.27Λιανικό εμπόριο ειδών ένδυσης, εξαρτημάτων ρουχισμού και άλλων ειδών από γουνόδερμα (εκτός καλυμάτων κεφαλής)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lastRenderedPageBreak/>
        <w:t>47.71.71.34Λιανικό εμπόριο ειδών ένδυσης, εξαρτημάτων ρουχισμού από γουνόδερμα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47.78.89.04Λιανικό εμπόριο διάφορων τουριστικών και λοιπών παρόμοιων ειδών λαϊκής τέχνης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47.99Άλλο λιανικό εμπόριο εκτός καταστημάτων, υπαίθριων πάγκων ή αγορών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49.31Αστικές και προαστιακές χερσαίες μεταφορές επιβατών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49.39Άλλες χερσαίες μεταφορές επιβατών π.δ.κ.α.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50.10Θαλάσσιες και ακτοπλοϊκές μεταφορές επιβατών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50.30Εσωτερικές πλωτές μεταφορές επιβατών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51.10Αεροπορικές μεταφορές επιβατών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51.21Αεροπορικές μεταφορές εμπορευμάτων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52.21.29.02Υπηρεσίες οδηγού λεωφορείου (μη εκμεταλλευτή)</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52.21.29.03Υπηρεσίες πώλησης εισιτηρίων αστικών χερσαίων συγκοινωνιακών μέσων από τρίτους, λιανικά</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52.21.29.04Υπηρεσίες πώλησης εισιτηρίων αστικών χερσαίων συγκοινωνιακών μέσων από τρίτους, χονδρικά</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52.21.29.05Υπηρεσίες πώλησης εισιτηρίων υπεραστικών χερσαίων συγκοινωνιακών μέσων από τρίτους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52.22Δραστηριότητες συναφείς με τις πλωτές μεταφορές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52.23Δραστηριότητες συναφείς με τις αεροπορικές μεταφορές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55.10Ξενοδοχεία και παρόμοια καταλύματα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55.20Καταλύματα διακοπών και άλλα καταλύματα σύντομης διαμονής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55.30Χώροι κατασκήνωσης, εγκαταστάσεις για οχήματα αναψυχής και ρυμουλκούμενα οχήματα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 xml:space="preserve">55.90.13Υπηρεσίες κλιναμαξών (βαγκόν-λι) και υπηρεσίες ύπνου σε </w:t>
      </w:r>
      <w:r>
        <w:rPr>
          <w:rFonts w:ascii="Arial" w:hAnsi="Arial" w:cs="Arial"/>
          <w:color w:val="000000"/>
        </w:rPr>
        <w:t>A</w:t>
      </w:r>
      <w:r w:rsidRPr="003E1E95">
        <w:rPr>
          <w:rFonts w:ascii="Arial" w:hAnsi="Arial" w:cs="Arial"/>
          <w:color w:val="000000"/>
          <w:lang w:val="el-GR"/>
        </w:rPr>
        <w:t>λλα μεταφορικά μέσα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55.90.19Άλλες υπηρεσίες καταλύματος π.δ.κ.α.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lastRenderedPageBreak/>
        <w:t>56.10Δραστηριότητες υπηρεσιών εστιατορίων και κινητών μονάδων εστίασης, με εξαίρεση τις δραστηριότητες που αφορούν διανομή προϊόντων (</w:t>
      </w:r>
      <w:r>
        <w:rPr>
          <w:rFonts w:ascii="Arial" w:hAnsi="Arial" w:cs="Arial"/>
          <w:color w:val="000000"/>
        </w:rPr>
        <w:t>delivery</w:t>
      </w:r>
      <w:r w:rsidRPr="003E1E95">
        <w:rPr>
          <w:rFonts w:ascii="Arial" w:hAnsi="Arial" w:cs="Arial"/>
          <w:color w:val="000000"/>
          <w:lang w:val="el-GR"/>
        </w:rPr>
        <w:t>) και παροχή προϊόντων σε πακέτο από το κατάστημα (</w:t>
      </w:r>
      <w:r>
        <w:rPr>
          <w:rFonts w:ascii="Arial" w:hAnsi="Arial" w:cs="Arial"/>
          <w:color w:val="000000"/>
        </w:rPr>
        <w:t>take</w:t>
      </w:r>
      <w:r w:rsidRPr="003E1E95">
        <w:rPr>
          <w:rFonts w:ascii="Arial" w:hAnsi="Arial" w:cs="Arial"/>
          <w:color w:val="000000"/>
          <w:lang w:val="el-GR"/>
        </w:rPr>
        <w:t xml:space="preserve"> </w:t>
      </w:r>
      <w:r>
        <w:rPr>
          <w:rFonts w:ascii="Arial" w:hAnsi="Arial" w:cs="Arial"/>
          <w:color w:val="000000"/>
        </w:rPr>
        <w:t>away</w:t>
      </w:r>
      <w:r w:rsidRPr="003E1E95">
        <w:rPr>
          <w:rFonts w:ascii="Arial" w:hAnsi="Arial" w:cs="Arial"/>
          <w:color w:val="000000"/>
          <w:lang w:val="el-GR"/>
        </w:rPr>
        <w:t>) στις οποίες δεν επιτρέπεται η χρήση τραπεζοκαθισμάτων και το σερβίρισμα σε αυτά</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56.21Δραστηριότητες υπηρεσιών τροφοδοσίας για εκδηλώσεις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56.29Άλλες υπηρεσίες εστίασης, με εξαίρεση τις Υπηρεσίες γευμάτων που παρέχονται από στρατιωτικές τραπεζαρίες (56.29.20.01), Υπηρεσίες που παρέχονται από καντίνες εργοστάσιων ή γραφείων (56.29.20.03), Υπηρεσίες που παρέχονται από σχολικές καντίνες (κυλικεία) (56.29.20.04), Υπηρεσίες που παρέχονται από φοιτητικά εστιατόρια (56.29.20.05)</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56.30Δραστηριότητες παροχής ποτών, με εξαίρεση τις δραστηριότητες που αφορούν διανομή προϊόντων (</w:t>
      </w:r>
      <w:r>
        <w:rPr>
          <w:rFonts w:ascii="Arial" w:hAnsi="Arial" w:cs="Arial"/>
          <w:color w:val="000000"/>
        </w:rPr>
        <w:t>delivery</w:t>
      </w:r>
      <w:r w:rsidRPr="003E1E95">
        <w:rPr>
          <w:rFonts w:ascii="Arial" w:hAnsi="Arial" w:cs="Arial"/>
          <w:color w:val="000000"/>
          <w:lang w:val="el-GR"/>
        </w:rPr>
        <w:t>) και παροχή προϊόντων σε πακέτο από το κατάστημα (</w:t>
      </w:r>
      <w:r>
        <w:rPr>
          <w:rFonts w:ascii="Arial" w:hAnsi="Arial" w:cs="Arial"/>
          <w:color w:val="000000"/>
        </w:rPr>
        <w:t>take</w:t>
      </w:r>
      <w:r w:rsidRPr="003E1E95">
        <w:rPr>
          <w:rFonts w:ascii="Arial" w:hAnsi="Arial" w:cs="Arial"/>
          <w:color w:val="000000"/>
          <w:lang w:val="el-GR"/>
        </w:rPr>
        <w:t xml:space="preserve"> </w:t>
      </w:r>
      <w:r>
        <w:rPr>
          <w:rFonts w:ascii="Arial" w:hAnsi="Arial" w:cs="Arial"/>
          <w:color w:val="000000"/>
        </w:rPr>
        <w:t>away</w:t>
      </w:r>
      <w:r w:rsidRPr="003E1E95">
        <w:rPr>
          <w:rFonts w:ascii="Arial" w:hAnsi="Arial" w:cs="Arial"/>
          <w:color w:val="000000"/>
          <w:lang w:val="el-GR"/>
        </w:rPr>
        <w:t>) στις οποίες δεν επιτρέπεται η χρήση τραπεζοκαθισμάτων και το σερβίρισμα σε αυτά</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59.11Δραστηριότητες παραγωγής κινηματογραφικών ταινιών, βίντεο και τηλεοπτικών προγραμμάτων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59.12Δραστηριότητες συνοδευτικές της παραγωγής κινηματογραφικών ταινιών, βίντεο και τηλεοπτικών προγραμμάτων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59.13Δραστηριότητες διανομής κινηματογραφικών ταινιών, βίντεο και τηλεοπτικών προγραμμάτων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59.14Δραστηριότητες προβολής κινηματογραφικών ταινιών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74.20Φωτογραφικές δραστηριότητες</w:t>
      </w:r>
    </w:p>
    <w:p w:rsidR="003E1E95" w:rsidRDefault="003E1E95" w:rsidP="003E1E95">
      <w:pPr>
        <w:pStyle w:val="Web"/>
        <w:jc w:val="both"/>
        <w:rPr>
          <w:rFonts w:ascii="Verdana" w:hAnsi="Verdana"/>
          <w:color w:val="000000"/>
          <w:sz w:val="15"/>
          <w:szCs w:val="15"/>
        </w:rPr>
      </w:pPr>
      <w:r>
        <w:rPr>
          <w:rFonts w:ascii="Arial" w:hAnsi="Arial" w:cs="Arial"/>
          <w:color w:val="000000"/>
        </w:rPr>
        <w:t xml:space="preserve">74.30Δραστηριότητες </w:t>
      </w:r>
      <w:proofErr w:type="spellStart"/>
      <w:r>
        <w:rPr>
          <w:rFonts w:ascii="Arial" w:hAnsi="Arial" w:cs="Arial"/>
          <w:color w:val="000000"/>
        </w:rPr>
        <w:t>μετάφρασης</w:t>
      </w:r>
      <w:proofErr w:type="spellEnd"/>
      <w:r>
        <w:rPr>
          <w:rFonts w:ascii="Arial" w:hAnsi="Arial" w:cs="Arial"/>
          <w:color w:val="000000"/>
        </w:rPr>
        <w:t xml:space="preserve"> </w:t>
      </w:r>
      <w:proofErr w:type="spellStart"/>
      <w:r>
        <w:rPr>
          <w:rFonts w:ascii="Arial" w:hAnsi="Arial" w:cs="Arial"/>
          <w:color w:val="000000"/>
        </w:rPr>
        <w:t>και</w:t>
      </w:r>
      <w:proofErr w:type="spellEnd"/>
      <w:r>
        <w:rPr>
          <w:rFonts w:ascii="Arial" w:hAnsi="Arial" w:cs="Arial"/>
          <w:color w:val="000000"/>
        </w:rPr>
        <w:t xml:space="preserve"> </w:t>
      </w:r>
      <w:proofErr w:type="spellStart"/>
      <w:r>
        <w:rPr>
          <w:rFonts w:ascii="Arial" w:hAnsi="Arial" w:cs="Arial"/>
          <w:color w:val="000000"/>
        </w:rPr>
        <w:t>διερμηνείας</w:t>
      </w:r>
      <w:proofErr w:type="spellEnd"/>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77.11Ενοικίαση και εκμίσθωση αυτοκινήτων και ελαφρών μηχανοκίνητων οχημάτων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77.21Ενοικίαση και εκμίσθωση ειδών αναψυχής και αθλητικών ειδών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77.29Ενοικίαση και εκμίσθωση άλλων ειδών προσωπικής ή οικιακής χρήσης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77.34Ενοικίαση και εκμίσθωση εξοπλισμού πλωτών μεταφορών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77.35Ενοικίαση και εκμίσθωση εξοπλισμού αεροπορικών μεταφορών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77.39.13Υπηρεσίες ενοικίασης και χρηματοδοτικής μίσθωσης μοτοσικλετών και τροχόσπιτων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lastRenderedPageBreak/>
        <w:t>77.39.19.03Υπηρεσίες ενοικίασης εξοπλισμού εκθέσεων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79.11Δραστηριότητες ταξιδιωτικών πρακτορείων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79.12Δραστηριότητες γραφείων οργανωμένων ταξιδιών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79.90Άλλες δραστηριότητες υπηρεσιών κρατήσεων και συναφείς δραστηριότητες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82.30Οργάνωση συνεδρίων και εμπορικών εκθέσεων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85.51Αθλητική και ψυχαγωγική εκπαίδευση</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85.52Πολιτιστική εκπαίδευση</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88.10Δραστηριότητες κοινωνικής μέριμνας χωρίς παροχή καταλύματος για ηλικιωμένους και άτομα με αναπηρία, με εξαίρεση τις Υπηρεσίες κοινωνικής μέριμνας χωρίς παροχή καταλύματος για ηλικιωμένους και άτομα με αναπηρία (ΚΑΔ 88.10.10), καθώς και τις Υπηρεσίες επίσκεψης και παροχής υποστήριξης σε ηλικιωμένους (ΚΑΔ 88.10.11).</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90.01Τέχνες του θεάματος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90.02Υποστηρικτικές δραστηριότητες για τις τέχνες του θεάματος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90.03Καλλιτεχνική δημιουργία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90.04Εκμετάλλευση αιθουσών θεαμάτων και συναφείς δραστηριότητες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91.02Δραστηριότητες μουσείων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91.03Λειτουργία ιστορικών χώρων και κτιρίων και παρόμοιων πόλων έλξης επισκεπτών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92.00.11Υπηρεσίες τυχερών παιχνιδιών τραπεζιού</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93.11Εκμετάλλευση αθλητικών εγκαταστάσεων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93.12Δραστηριότητες αθλητικών ομίλων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93.13Εγκαταστάσεις γυμναστικής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93.19Άλλες αθλητικές δραστηριότητες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93.21Δραστηριότητες πάρκων αναψυχής και άλλων θεματικών πάρκων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93.29Άλλες δραστηριότητες διασκέδασης και ψυχαγωγίας</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lastRenderedPageBreak/>
        <w:t>94.99.16.01Υπηρεσίες πολιτιστικών συλλόγων και σωματείων</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96.04Δραστηριότητες σχετικές με τη φυσική ευεξία, εκτός από υπηρεσίες διαιτολογίας (96.04.10.01) και Υπηρεσίες διαιτολογικών μονάδων (πολυδύναμων μονάδων συνδυασμού άσκησης, αισθητικής και δίαιτας) (96.04.10.02)</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96.09.19.16Υπηρεσίες στολισμού εκκλησιών, αιθουσών κλπ (για γάμους, βαπτίσεις, κηδείες και άλλες εκδηλώσεις)</w:t>
      </w:r>
    </w:p>
    <w:p w:rsidR="003E1E95" w:rsidRPr="003E1E95" w:rsidRDefault="003E1E95" w:rsidP="003E1E95">
      <w:pPr>
        <w:pStyle w:val="Web"/>
        <w:jc w:val="both"/>
        <w:rPr>
          <w:rFonts w:ascii="Verdana" w:hAnsi="Verdana"/>
          <w:color w:val="000000"/>
          <w:sz w:val="15"/>
          <w:szCs w:val="15"/>
          <w:lang w:val="el-GR"/>
        </w:rPr>
      </w:pPr>
      <w:r>
        <w:rPr>
          <w:rFonts w:ascii="Arial" w:hAnsi="Arial" w:cs="Arial"/>
          <w:color w:val="000000"/>
        </w:rPr>
        <w:t> </w:t>
      </w:r>
      <w:r w:rsidRPr="003E1E95">
        <w:rPr>
          <w:rFonts w:ascii="Arial" w:hAnsi="Arial" w:cs="Arial"/>
          <w:color w:val="000000"/>
          <w:lang w:val="el-GR"/>
        </w:rPr>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t>70.22Δραστηριότητες παροχής επιχειρηματικών συμβουλών και άλλων συμβουλών διαχείρισης για επιχειρήσεις που δραστηριοποιούνται στην παροχή επιχειρηματικών συμβουλών και άλλων συμβουλών διαχείρισης αποκλειστικά προς και για ξενοδοχειακά καταλύματα</w:t>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br/>
      </w:r>
    </w:p>
    <w:p w:rsidR="003E1E95" w:rsidRPr="003E1E95" w:rsidRDefault="003E1E95" w:rsidP="003E1E95">
      <w:pPr>
        <w:pStyle w:val="Web"/>
        <w:jc w:val="both"/>
        <w:rPr>
          <w:rFonts w:ascii="Verdana" w:hAnsi="Verdana"/>
          <w:color w:val="000000"/>
          <w:sz w:val="15"/>
          <w:szCs w:val="15"/>
          <w:lang w:val="el-GR"/>
        </w:rPr>
      </w:pPr>
      <w:r w:rsidRPr="003E1E95">
        <w:rPr>
          <w:rFonts w:ascii="Arial" w:hAnsi="Arial" w:cs="Arial"/>
          <w:color w:val="000000"/>
          <w:lang w:val="el-GR"/>
        </w:rPr>
        <w:br/>
      </w:r>
    </w:p>
    <w:p w:rsidR="003E1E95" w:rsidRDefault="003E1E95" w:rsidP="003E1E95">
      <w:pPr>
        <w:pStyle w:val="Web"/>
        <w:jc w:val="both"/>
        <w:rPr>
          <w:rFonts w:ascii="Verdana" w:hAnsi="Verdana"/>
          <w:color w:val="000000"/>
          <w:sz w:val="15"/>
          <w:szCs w:val="15"/>
        </w:rPr>
      </w:pPr>
      <w:r>
        <w:rPr>
          <w:rFonts w:ascii="Arial" w:hAnsi="Arial" w:cs="Arial"/>
          <w:color w:val="000000"/>
        </w:rPr>
        <w:t xml:space="preserve">Read more at </w:t>
      </w:r>
      <w:proofErr w:type="spellStart"/>
      <w:r>
        <w:rPr>
          <w:rFonts w:ascii="Arial" w:hAnsi="Arial" w:cs="Arial"/>
          <w:color w:val="000000"/>
        </w:rPr>
        <w:t>Taxheaven</w:t>
      </w:r>
      <w:proofErr w:type="spellEnd"/>
      <w:r>
        <w:rPr>
          <w:rFonts w:ascii="Arial" w:hAnsi="Arial" w:cs="Arial"/>
          <w:color w:val="000000"/>
        </w:rPr>
        <w:t>: https://www.taxheaven.gr/news/51137/anastolh-symbasewn-ergasias-ergazomenwn-gia-ton-mhna-oktwbrio-2020-oi-kad-kai-oi-loipes-leptomereies</w:t>
      </w:r>
    </w:p>
    <w:p w:rsidR="009C5ECD" w:rsidRDefault="009C5ECD"/>
    <w:sectPr w:rsidR="009C5ECD" w:rsidSect="009C5EC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E1E95"/>
    <w:rsid w:val="003E1E95"/>
    <w:rsid w:val="009C5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1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2379</Words>
  <Characters>13564</Characters>
  <Application>Microsoft Office Word</Application>
  <DocSecurity>0</DocSecurity>
  <Lines>113</Lines>
  <Paragraphs>31</Paragraphs>
  <ScaleCrop>false</ScaleCrop>
  <Company>Hewlett-Packard Company</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2020-10-26T08:19:00Z</dcterms:created>
  <dcterms:modified xsi:type="dcterms:W3CDTF">2020-10-26T08:20:00Z</dcterms:modified>
</cp:coreProperties>
</file>